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E8EEC" w14:textId="77777777" w:rsidR="00906BAD" w:rsidRPr="0086180A" w:rsidRDefault="00906BAD" w:rsidP="00906BAD">
      <w:pPr>
        <w:spacing w:before="120"/>
        <w:rPr>
          <w:rFonts w:ascii="Times New Roman" w:hAnsi="Times New Roman" w:cs="Times New Roman"/>
          <w:b/>
          <w:bCs/>
          <w:sz w:val="28"/>
          <w:szCs w:val="28"/>
          <w:lang w:val="en-US"/>
        </w:rPr>
      </w:pPr>
    </w:p>
    <w:tbl>
      <w:tblPr>
        <w:tblStyle w:val="TableGrid"/>
        <w:tblpPr w:leftFromText="180" w:rightFromText="180" w:vertAnchor="text" w:horzAnchor="margin" w:tblpX="-522" w:tblpY="-584"/>
        <w:tblW w:w="56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7"/>
        <w:gridCol w:w="5670"/>
      </w:tblGrid>
      <w:tr w:rsidR="00906BAD" w:rsidRPr="0086180A" w14:paraId="10985D65" w14:textId="77777777" w:rsidTr="00906BAD">
        <w:tc>
          <w:tcPr>
            <w:tcW w:w="2289" w:type="pct"/>
          </w:tcPr>
          <w:p w14:paraId="379D653F" w14:textId="7DD5D736" w:rsidR="00906BAD" w:rsidRPr="0086180A" w:rsidRDefault="00906BAD" w:rsidP="00906BAD">
            <w:pPr>
              <w:jc w:val="center"/>
              <w:rPr>
                <w:rFonts w:ascii="Times New Roman" w:hAnsi="Times New Roman" w:cs="Times New Roman"/>
                <w:sz w:val="26"/>
                <w:szCs w:val="26"/>
                <w:lang w:val="en-US"/>
              </w:rPr>
            </w:pPr>
            <w:r w:rsidRPr="0086180A">
              <w:rPr>
                <w:rFonts w:ascii="Times New Roman" w:hAnsi="Times New Roman" w:cs="Times New Roman"/>
                <w:sz w:val="26"/>
                <w:szCs w:val="26"/>
                <w:lang w:val="en-US"/>
              </w:rPr>
              <w:t>UBND TỈNH AN GIANG</w:t>
            </w:r>
          </w:p>
          <w:p w14:paraId="1683B42E" w14:textId="69AD2503" w:rsidR="00906BAD" w:rsidRPr="0086180A" w:rsidRDefault="00906BAD" w:rsidP="00906BAD">
            <w:pPr>
              <w:jc w:val="center"/>
              <w:rPr>
                <w:rFonts w:ascii="Times New Roman" w:hAnsi="Times New Roman" w:cs="Times New Roman"/>
                <w:b/>
                <w:sz w:val="20"/>
              </w:rPr>
            </w:pPr>
            <w:r w:rsidRPr="0086180A">
              <w:rPr>
                <w:rFonts w:ascii="Times New Roman" w:hAnsi="Times New Roman" w:cs="Times New Roman"/>
                <w:b/>
                <w:sz w:val="26"/>
                <w:szCs w:val="26"/>
                <w:lang w:val="en-US" w:eastAsia="en-US"/>
              </w:rPr>
              <mc:AlternateContent>
                <mc:Choice Requires="wps">
                  <w:drawing>
                    <wp:anchor distT="0" distB="0" distL="114300" distR="114300" simplePos="0" relativeHeight="251659264" behindDoc="0" locked="0" layoutInCell="1" allowOverlap="1" wp14:anchorId="3271E112" wp14:editId="23A503E9">
                      <wp:simplePos x="0" y="0"/>
                      <wp:positionH relativeFrom="column">
                        <wp:posOffset>878840</wp:posOffset>
                      </wp:positionH>
                      <wp:positionV relativeFrom="paragraph">
                        <wp:posOffset>255460</wp:posOffset>
                      </wp:positionV>
                      <wp:extent cx="10800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0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20.1pt" to="154.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" strokecolor="black [3213]" strokeweight=".5pt">
                      <v:stroke joinstyle="miter"/>
                    </v:line>
                  </w:pict>
                </mc:Fallback>
              </mc:AlternateContent>
            </w:r>
            <w:r w:rsidRPr="0086180A">
              <w:rPr>
                <w:rFonts w:ascii="Times New Roman" w:hAnsi="Times New Roman" w:cs="Times New Roman"/>
                <w:b/>
                <w:sz w:val="26"/>
                <w:szCs w:val="26"/>
                <w:lang w:val="en-US"/>
              </w:rPr>
              <w:t>SỞ KHOA HỌC VÀ CÔNG NGHỆ</w:t>
            </w:r>
            <w:r w:rsidRPr="0086180A">
              <w:rPr>
                <w:rFonts w:ascii="Times New Roman" w:hAnsi="Times New Roman" w:cs="Times New Roman"/>
                <w:b/>
                <w:sz w:val="20"/>
              </w:rPr>
              <w:br/>
            </w:r>
          </w:p>
        </w:tc>
        <w:tc>
          <w:tcPr>
            <w:tcW w:w="2711" w:type="pct"/>
          </w:tcPr>
          <w:p w14:paraId="55A40673" w14:textId="41402576" w:rsidR="00906BAD" w:rsidRPr="0086180A" w:rsidRDefault="00906BAD" w:rsidP="00906BAD">
            <w:pPr>
              <w:jc w:val="center"/>
              <w:rPr>
                <w:rFonts w:ascii="Times New Roman" w:hAnsi="Times New Roman" w:cs="Times New Roman"/>
                <w:b/>
                <w:sz w:val="26"/>
                <w:szCs w:val="26"/>
              </w:rPr>
            </w:pPr>
            <w:r w:rsidRPr="0086180A">
              <w:rPr>
                <w:rFonts w:ascii="Times New Roman" w:hAnsi="Times New Roman" w:cs="Times New Roman"/>
                <w:b/>
                <w:sz w:val="26"/>
                <w:szCs w:val="26"/>
                <w:lang w:val="en-US" w:eastAsia="en-US"/>
              </w:rPr>
              <mc:AlternateContent>
                <mc:Choice Requires="wps">
                  <w:drawing>
                    <wp:anchor distT="0" distB="0" distL="114300" distR="114300" simplePos="0" relativeHeight="251660288" behindDoc="0" locked="0" layoutInCell="1" allowOverlap="1" wp14:anchorId="54E9FCED" wp14:editId="0291E8DE">
                      <wp:simplePos x="0" y="0"/>
                      <wp:positionH relativeFrom="column">
                        <wp:posOffset>647065</wp:posOffset>
                      </wp:positionH>
                      <wp:positionV relativeFrom="paragraph">
                        <wp:posOffset>437705</wp:posOffset>
                      </wp:positionV>
                      <wp:extent cx="2160000"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95pt,34.45pt" to="221.0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" strokecolor="black [3213]" strokeweight=".5pt">
                      <v:stroke joinstyle="miter"/>
                    </v:line>
                  </w:pict>
                </mc:Fallback>
              </mc:AlternateContent>
            </w:r>
            <w:r w:rsidRPr="0086180A">
              <w:rPr>
                <w:rFonts w:ascii="Times New Roman" w:hAnsi="Times New Roman" w:cs="Times New Roman"/>
                <w:b/>
                <w:sz w:val="26"/>
                <w:szCs w:val="26"/>
              </w:rPr>
              <w:t>CỘNG HÒA XÃ HỘI CHỦ NGHĨA VIỆT NAM</w:t>
            </w:r>
            <w:r w:rsidRPr="0086180A">
              <w:rPr>
                <w:rFonts w:ascii="Times New Roman" w:hAnsi="Times New Roman" w:cs="Times New Roman"/>
                <w:b/>
                <w:sz w:val="26"/>
                <w:szCs w:val="26"/>
              </w:rPr>
              <w:br/>
            </w:r>
            <w:r w:rsidRPr="0086180A">
              <w:rPr>
                <w:rFonts w:ascii="Times New Roman" w:hAnsi="Times New Roman" w:cs="Times New Roman"/>
                <w:b/>
                <w:sz w:val="28"/>
                <w:szCs w:val="28"/>
              </w:rPr>
              <w:t>Độc lập - Tự do - Hạnh phúc</w:t>
            </w:r>
            <w:r w:rsidRPr="0086180A">
              <w:rPr>
                <w:rFonts w:ascii="Times New Roman" w:hAnsi="Times New Roman" w:cs="Times New Roman"/>
                <w:b/>
                <w:sz w:val="26"/>
                <w:szCs w:val="26"/>
              </w:rPr>
              <w:t xml:space="preserve"> </w:t>
            </w:r>
            <w:r w:rsidRPr="0086180A">
              <w:rPr>
                <w:rFonts w:ascii="Times New Roman" w:hAnsi="Times New Roman" w:cs="Times New Roman"/>
                <w:b/>
                <w:sz w:val="26"/>
                <w:szCs w:val="26"/>
              </w:rPr>
              <w:br/>
            </w:r>
          </w:p>
        </w:tc>
      </w:tr>
      <w:tr w:rsidR="00906BAD" w:rsidRPr="0086180A" w14:paraId="2FBFC370" w14:textId="77777777" w:rsidTr="00906BAD">
        <w:tc>
          <w:tcPr>
            <w:tcW w:w="2289" w:type="pct"/>
          </w:tcPr>
          <w:p w14:paraId="4043A995" w14:textId="77777777" w:rsidR="00906BAD" w:rsidRPr="0086180A" w:rsidRDefault="00906BAD" w:rsidP="00B0409A">
            <w:pPr>
              <w:spacing w:before="120"/>
              <w:jc w:val="center"/>
              <w:rPr>
                <w:rFonts w:ascii="Times New Roman" w:hAnsi="Times New Roman" w:cs="Times New Roman"/>
                <w:sz w:val="20"/>
              </w:rPr>
            </w:pPr>
          </w:p>
        </w:tc>
        <w:tc>
          <w:tcPr>
            <w:tcW w:w="2711" w:type="pct"/>
          </w:tcPr>
          <w:p w14:paraId="7ECD9450" w14:textId="3514C190" w:rsidR="00906BAD" w:rsidRPr="0086180A" w:rsidRDefault="00906BAD" w:rsidP="00906BAD">
            <w:pPr>
              <w:spacing w:before="120"/>
              <w:jc w:val="center"/>
              <w:rPr>
                <w:rFonts w:ascii="Times New Roman" w:hAnsi="Times New Roman" w:cs="Times New Roman"/>
                <w:i/>
                <w:sz w:val="28"/>
                <w:szCs w:val="28"/>
              </w:rPr>
            </w:pPr>
            <w:r w:rsidRPr="0086180A">
              <w:rPr>
                <w:rFonts w:ascii="Times New Roman" w:hAnsi="Times New Roman" w:cs="Times New Roman"/>
                <w:i/>
                <w:iCs/>
                <w:sz w:val="28"/>
                <w:szCs w:val="28"/>
                <w:lang w:val="en-US"/>
              </w:rPr>
              <w:t>An Giang,</w:t>
            </w:r>
            <w:r w:rsidRPr="0086180A">
              <w:rPr>
                <w:rFonts w:ascii="Times New Roman" w:hAnsi="Times New Roman" w:cs="Times New Roman"/>
                <w:i/>
                <w:iCs/>
                <w:sz w:val="28"/>
                <w:szCs w:val="28"/>
              </w:rPr>
              <w:t xml:space="preserve"> ngày … tháng … năm </w:t>
            </w:r>
            <w:r w:rsidRPr="0086180A">
              <w:rPr>
                <w:rFonts w:ascii="Times New Roman" w:hAnsi="Times New Roman" w:cs="Times New Roman"/>
                <w:i/>
                <w:iCs/>
                <w:sz w:val="28"/>
                <w:szCs w:val="28"/>
                <w:lang w:val="en-US"/>
              </w:rPr>
              <w:t>2025</w:t>
            </w:r>
          </w:p>
        </w:tc>
      </w:tr>
    </w:tbl>
    <w:p w14:paraId="19D6A951" w14:textId="74FF2AFE" w:rsidR="001A6CB6" w:rsidRPr="0086180A" w:rsidRDefault="001A6CB6" w:rsidP="001A6CB6">
      <w:pPr>
        <w:spacing w:before="120"/>
        <w:jc w:val="center"/>
        <w:rPr>
          <w:rFonts w:ascii="Times New Roman" w:hAnsi="Times New Roman" w:cs="Times New Roman"/>
          <w:b/>
          <w:bCs/>
          <w:sz w:val="28"/>
          <w:szCs w:val="28"/>
        </w:rPr>
      </w:pPr>
      <w:r w:rsidRPr="0086180A">
        <w:rPr>
          <w:rFonts w:ascii="Times New Roman" w:hAnsi="Times New Roman" w:cs="Times New Roman"/>
          <w:b/>
          <w:bCs/>
          <w:sz w:val="28"/>
          <w:szCs w:val="28"/>
        </w:rPr>
        <w:t xml:space="preserve">BẢN SO SÁNH, THUYẾT MINH </w:t>
      </w:r>
      <w:r w:rsidR="003E5AD6" w:rsidRPr="0086180A">
        <w:rPr>
          <w:rFonts w:ascii="Times New Roman" w:hAnsi="Times New Roman" w:cs="Times New Roman"/>
          <w:b/>
          <w:bCs/>
          <w:sz w:val="28"/>
          <w:szCs w:val="28"/>
          <w:lang w:val="en-US"/>
        </w:rPr>
        <w:br/>
        <w:t>N</w:t>
      </w:r>
      <w:r w:rsidR="003E5AD6" w:rsidRPr="0086180A">
        <w:rPr>
          <w:rFonts w:ascii="Times New Roman" w:hAnsi="Times New Roman" w:cs="Times New Roman"/>
          <w:b/>
          <w:bCs/>
          <w:sz w:val="28"/>
          <w:szCs w:val="28"/>
        </w:rPr>
        <w:t>ội dung dự thảo</w:t>
      </w:r>
      <w:r w:rsidR="003E5AD6" w:rsidRPr="0086180A">
        <w:rPr>
          <w:rFonts w:ascii="Times New Roman" w:hAnsi="Times New Roman" w:cs="Times New Roman"/>
          <w:b/>
          <w:bCs/>
          <w:sz w:val="28"/>
          <w:szCs w:val="28"/>
          <w:lang w:val="en-US"/>
        </w:rPr>
        <w:t xml:space="preserve"> N</w:t>
      </w:r>
      <w:r w:rsidR="003E5AD6" w:rsidRPr="0086180A">
        <w:rPr>
          <w:rFonts w:ascii="Times New Roman" w:hAnsi="Times New Roman" w:cs="Times New Roman"/>
          <w:b/>
          <w:bCs/>
          <w:sz w:val="28"/>
          <w:szCs w:val="28"/>
        </w:rPr>
        <w:t xml:space="preserve">ghị quyết quy định </w:t>
      </w:r>
      <w:r w:rsidR="003E5AD6" w:rsidRPr="0086180A">
        <w:rPr>
          <w:rFonts w:ascii="Times New Roman" w:hAnsi="Times New Roman" w:cs="Times New Roman"/>
          <w:b/>
          <w:bCs/>
          <w:iCs/>
          <w:sz w:val="28"/>
          <w:szCs w:val="28"/>
        </w:rPr>
        <w:t xml:space="preserve">thẩm quyền quyết định mua sắm tài sản, hàng hóa, dịch vụ thuộc lĩnh vực khoa học và công nghệ; </w:t>
      </w:r>
      <w:r w:rsidR="003E5AD6" w:rsidRPr="0086180A">
        <w:rPr>
          <w:rFonts w:ascii="Times New Roman" w:hAnsi="Times New Roman" w:cs="Times New Roman"/>
          <w:b/>
          <w:bCs/>
          <w:sz w:val="28"/>
          <w:szCs w:val="28"/>
        </w:rPr>
        <w:t xml:space="preserve">thẩm quyền quyết định </w:t>
      </w:r>
      <w:r w:rsidR="003E5AD6" w:rsidRPr="0086180A">
        <w:rPr>
          <w:rFonts w:ascii="Times New Roman" w:hAnsi="Times New Roman" w:cs="Times New Roman"/>
          <w:b/>
          <w:bCs/>
          <w:iCs/>
          <w:sz w:val="28"/>
          <w:szCs w:val="28"/>
        </w:rPr>
        <w:t>đầu tư, mua sắm các hoạt động ứng dụng công nghệ thông tin</w:t>
      </w:r>
      <w:r w:rsidR="003E5AD6" w:rsidRPr="0086180A">
        <w:rPr>
          <w:rFonts w:ascii="Times New Roman" w:hAnsi="Times New Roman" w:cs="Times New Roman"/>
          <w:b/>
          <w:bCs/>
          <w:iCs/>
          <w:sz w:val="28"/>
          <w:szCs w:val="28"/>
          <w:lang w:val="en-US"/>
        </w:rPr>
        <w:br/>
      </w:r>
      <w:r w:rsidR="003E5AD6" w:rsidRPr="0086180A">
        <w:rPr>
          <w:rFonts w:ascii="Times New Roman" w:hAnsi="Times New Roman" w:cs="Times New Roman"/>
          <w:b/>
          <w:bCs/>
          <w:iCs/>
          <w:sz w:val="28"/>
          <w:szCs w:val="28"/>
        </w:rPr>
        <w:t xml:space="preserve">sử dụng nguồn kinh phí thuộc phạm vi quản lý tỉnh </w:t>
      </w:r>
      <w:r w:rsidR="003E5AD6" w:rsidRPr="0086180A">
        <w:rPr>
          <w:rFonts w:ascii="Times New Roman" w:hAnsi="Times New Roman" w:cs="Times New Roman"/>
          <w:b/>
          <w:bCs/>
          <w:iCs/>
          <w:sz w:val="28"/>
          <w:szCs w:val="28"/>
          <w:lang w:val="en-US"/>
        </w:rPr>
        <w:t>A</w:t>
      </w:r>
      <w:r w:rsidR="003E5AD6" w:rsidRPr="0086180A">
        <w:rPr>
          <w:rFonts w:ascii="Times New Roman" w:hAnsi="Times New Roman" w:cs="Times New Roman"/>
          <w:b/>
          <w:bCs/>
          <w:iCs/>
          <w:sz w:val="28"/>
          <w:szCs w:val="28"/>
        </w:rPr>
        <w:t xml:space="preserve">n </w:t>
      </w:r>
      <w:r w:rsidR="003E5AD6" w:rsidRPr="0086180A">
        <w:rPr>
          <w:rFonts w:ascii="Times New Roman" w:hAnsi="Times New Roman" w:cs="Times New Roman"/>
          <w:b/>
          <w:bCs/>
          <w:iCs/>
          <w:sz w:val="28"/>
          <w:szCs w:val="28"/>
          <w:lang w:val="en-US"/>
        </w:rPr>
        <w:t>G</w:t>
      </w:r>
      <w:r w:rsidR="003E5AD6" w:rsidRPr="0086180A">
        <w:rPr>
          <w:rFonts w:ascii="Times New Roman" w:hAnsi="Times New Roman" w:cs="Times New Roman"/>
          <w:b/>
          <w:bCs/>
          <w:iCs/>
          <w:sz w:val="28"/>
          <w:szCs w:val="28"/>
        </w:rPr>
        <w:t>iang</w:t>
      </w:r>
      <w:r w:rsidR="003E5AD6" w:rsidRPr="0086180A">
        <w:rPr>
          <w:rFonts w:ascii="Times New Roman" w:hAnsi="Times New Roman" w:cs="Times New Roman"/>
          <w:b/>
          <w:bCs/>
          <w:iCs/>
          <w:sz w:val="28"/>
          <w:szCs w:val="28"/>
          <w:lang w:val="en-US"/>
        </w:rPr>
        <w:br/>
      </w:r>
      <w:r w:rsidR="003E5AD6" w:rsidRPr="0086180A">
        <w:rPr>
          <w:rFonts w:ascii="Times New Roman" w:hAnsi="Times New Roman" w:cs="Times New Roman"/>
          <w:b/>
          <w:bCs/>
          <w:sz w:val="28"/>
          <w:szCs w:val="28"/>
        </w:rPr>
        <w:t>với quy định pháp luật hiện hành</w:t>
      </w:r>
    </w:p>
    <w:p w14:paraId="5567A2A4" w14:textId="452654D6" w:rsidR="001A6CB6" w:rsidRPr="0086180A" w:rsidRDefault="001A6CB6" w:rsidP="001A6CB6">
      <w:pPr>
        <w:spacing w:before="120"/>
        <w:rPr>
          <w:rFonts w:ascii="Times New Roman" w:hAnsi="Times New Roman" w:cs="Times New Roman"/>
          <w:b/>
          <w:bCs/>
          <w:sz w:val="20"/>
          <w:szCs w:val="20"/>
        </w:rPr>
      </w:pP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682"/>
        <w:gridCol w:w="4398"/>
      </w:tblGrid>
      <w:tr w:rsidR="0086180A" w:rsidRPr="0086180A" w14:paraId="2CBBF296" w14:textId="77777777" w:rsidTr="0086180A">
        <w:tc>
          <w:tcPr>
            <w:tcW w:w="2578" w:type="pct"/>
            <w:shd w:val="clear" w:color="auto" w:fill="FFFFFF"/>
          </w:tcPr>
          <w:p w14:paraId="03D7604C" w14:textId="70CC30CE" w:rsidR="001A6CB6" w:rsidRPr="00C84880" w:rsidRDefault="001A6CB6" w:rsidP="00C84880">
            <w:pPr>
              <w:spacing w:before="120" w:after="120"/>
              <w:ind w:left="145" w:right="54"/>
              <w:jc w:val="center"/>
              <w:rPr>
                <w:rFonts w:ascii="Times New Roman" w:hAnsi="Times New Roman" w:cs="Times New Roman"/>
                <w:b/>
                <w:bCs/>
                <w:color w:val="auto"/>
                <w:sz w:val="28"/>
                <w:szCs w:val="28"/>
                <w:lang w:val="en-US"/>
              </w:rPr>
            </w:pPr>
            <w:r w:rsidRPr="00BD4A2A">
              <w:rPr>
                <w:rFonts w:ascii="Times New Roman" w:hAnsi="Times New Roman" w:cs="Times New Roman"/>
                <w:b/>
                <w:bCs/>
                <w:color w:val="auto"/>
                <w:sz w:val="28"/>
                <w:szCs w:val="28"/>
              </w:rPr>
              <w:t>D</w:t>
            </w:r>
            <w:r w:rsidRPr="00BD4A2A">
              <w:rPr>
                <w:rFonts w:ascii="Times New Roman" w:hAnsi="Times New Roman" w:cs="Times New Roman"/>
                <w:b/>
                <w:bCs/>
                <w:color w:val="auto"/>
                <w:sz w:val="28"/>
                <w:szCs w:val="28"/>
                <w:lang w:val="en-US"/>
              </w:rPr>
              <w:t>Ự</w:t>
            </w:r>
            <w:r w:rsidRPr="00BD4A2A">
              <w:rPr>
                <w:rFonts w:ascii="Times New Roman" w:hAnsi="Times New Roman" w:cs="Times New Roman"/>
                <w:b/>
                <w:bCs/>
                <w:color w:val="auto"/>
                <w:sz w:val="28"/>
                <w:szCs w:val="28"/>
              </w:rPr>
              <w:t xml:space="preserve"> THẢO </w:t>
            </w:r>
            <w:r w:rsidR="00C84880">
              <w:rPr>
                <w:rFonts w:ascii="Times New Roman" w:hAnsi="Times New Roman" w:cs="Times New Roman"/>
                <w:b/>
                <w:bCs/>
                <w:color w:val="auto"/>
                <w:sz w:val="28"/>
                <w:szCs w:val="28"/>
                <w:lang w:val="en-US"/>
              </w:rPr>
              <w:t>NGHỊ QUYẾT</w:t>
            </w:r>
          </w:p>
        </w:tc>
        <w:tc>
          <w:tcPr>
            <w:tcW w:w="2422" w:type="pct"/>
            <w:shd w:val="clear" w:color="auto" w:fill="FFFFFF"/>
          </w:tcPr>
          <w:p w14:paraId="7895FA9B" w14:textId="77777777" w:rsidR="001A6CB6" w:rsidRPr="0086180A" w:rsidRDefault="001A6CB6" w:rsidP="0086180A">
            <w:pPr>
              <w:spacing w:before="120" w:after="120"/>
              <w:ind w:left="141" w:right="146"/>
              <w:jc w:val="center"/>
              <w:rPr>
                <w:rFonts w:ascii="Times New Roman" w:hAnsi="Times New Roman" w:cs="Times New Roman"/>
                <w:b/>
                <w:bCs/>
                <w:color w:val="auto"/>
                <w:sz w:val="28"/>
                <w:szCs w:val="28"/>
              </w:rPr>
            </w:pPr>
            <w:r w:rsidRPr="0086180A">
              <w:rPr>
                <w:rFonts w:ascii="Times New Roman" w:hAnsi="Times New Roman" w:cs="Times New Roman"/>
                <w:b/>
                <w:bCs/>
                <w:color w:val="auto"/>
                <w:sz w:val="28"/>
                <w:szCs w:val="28"/>
              </w:rPr>
              <w:t>THUYẾT MINH</w:t>
            </w:r>
          </w:p>
        </w:tc>
      </w:tr>
      <w:tr w:rsidR="0086180A" w:rsidRPr="0086180A" w14:paraId="76AC752D" w14:textId="77777777" w:rsidTr="0086180A">
        <w:tc>
          <w:tcPr>
            <w:tcW w:w="2578" w:type="pct"/>
            <w:shd w:val="clear" w:color="auto" w:fill="FFFFFF"/>
          </w:tcPr>
          <w:p w14:paraId="2AB0B8F3" w14:textId="77777777" w:rsidR="00252662" w:rsidRPr="0086180A" w:rsidRDefault="00252662" w:rsidP="0086180A">
            <w:pPr>
              <w:shd w:val="clear" w:color="auto" w:fill="FFFFFF"/>
              <w:spacing w:before="120" w:after="120"/>
              <w:ind w:left="145" w:right="54"/>
              <w:jc w:val="both"/>
              <w:rPr>
                <w:rFonts w:ascii="Times New Roman" w:hAnsi="Times New Roman" w:cs="Times New Roman"/>
                <w:b/>
                <w:bCs/>
                <w:color w:val="auto"/>
                <w:sz w:val="28"/>
                <w:szCs w:val="28"/>
                <w:lang w:eastAsia="ja-JP"/>
              </w:rPr>
            </w:pPr>
            <w:r w:rsidRPr="0086180A">
              <w:rPr>
                <w:rFonts w:ascii="Times New Roman" w:hAnsi="Times New Roman" w:cs="Times New Roman"/>
                <w:b/>
                <w:bCs/>
                <w:color w:val="auto"/>
                <w:sz w:val="28"/>
                <w:szCs w:val="28"/>
                <w:lang w:eastAsia="ja-JP"/>
              </w:rPr>
              <w:t xml:space="preserve">Điều 1. </w:t>
            </w:r>
            <w:r w:rsidRPr="0086180A">
              <w:rPr>
                <w:rFonts w:ascii="Times New Roman" w:hAnsi="Times New Roman" w:cs="Times New Roman"/>
                <w:color w:val="auto"/>
                <w:sz w:val="28"/>
                <w:szCs w:val="28"/>
                <w:lang w:eastAsia="ja-JP"/>
              </w:rPr>
              <w:t>Thống nhất quy định thẩm quyền quyết định mua sắm tài sản, hàng hóa, dịch vụ thuộc lĩnh vực khoa học và công nghệ; thẩm quyền quyết định đầu tư, mua sắm các hoạt động ứng dụng công nghệ thông tin sử dụng nguồn kinh phí thuộc phạm vi quản lý tỉnh An Giang, như sau:</w:t>
            </w:r>
          </w:p>
          <w:p w14:paraId="58B408DC" w14:textId="77777777" w:rsidR="00252662" w:rsidRPr="0086180A" w:rsidRDefault="00252662" w:rsidP="0086180A">
            <w:pPr>
              <w:shd w:val="clear" w:color="auto" w:fill="FFFFFF"/>
              <w:spacing w:before="120" w:after="120"/>
              <w:ind w:left="145" w:right="54"/>
              <w:jc w:val="both"/>
              <w:rPr>
                <w:rFonts w:ascii="Times New Roman" w:hAnsi="Times New Roman" w:cs="Times New Roman"/>
                <w:color w:val="auto"/>
                <w:sz w:val="28"/>
                <w:szCs w:val="28"/>
                <w:lang w:eastAsia="ja-JP"/>
              </w:rPr>
            </w:pPr>
            <w:r w:rsidRPr="0086180A">
              <w:rPr>
                <w:rFonts w:ascii="Times New Roman" w:hAnsi="Times New Roman" w:cs="Times New Roman"/>
                <w:color w:val="auto"/>
                <w:sz w:val="28"/>
                <w:szCs w:val="28"/>
                <w:lang w:eastAsia="ja-JP"/>
              </w:rPr>
              <w:t>1. Phạm vi điều chỉnh</w:t>
            </w:r>
          </w:p>
          <w:p w14:paraId="0DC4BDCF" w14:textId="77777777" w:rsidR="00252662" w:rsidRPr="0086180A" w:rsidRDefault="00252662" w:rsidP="0086180A">
            <w:pPr>
              <w:autoSpaceDE w:val="0"/>
              <w:autoSpaceDN w:val="0"/>
              <w:adjustRightInd w:val="0"/>
              <w:spacing w:before="120" w:after="120"/>
              <w:ind w:left="145" w:right="54"/>
              <w:jc w:val="both"/>
              <w:rPr>
                <w:rFonts w:ascii="Times New Roman" w:hAnsi="Times New Roman" w:cs="Times New Roman"/>
                <w:color w:val="auto"/>
                <w:sz w:val="28"/>
                <w:szCs w:val="28"/>
              </w:rPr>
            </w:pPr>
            <w:r w:rsidRPr="0086180A">
              <w:rPr>
                <w:rFonts w:ascii="Times New Roman" w:hAnsi="Times New Roman" w:cs="Times New Roman"/>
                <w:color w:val="auto"/>
                <w:sz w:val="28"/>
                <w:szCs w:val="28"/>
              </w:rPr>
              <w:t>a) Nghị quyết này quy định về thẩm quyền quyết định việc mua sắm tài sản của các nhiệm vụ khoa học và công nghệ; mua sắm hàng hóa, dịch vụ đối với nguồn kinh phí khoa học và công nghệ thuộc phạm vi quản lý của tỉnh An Giang; thẩm quyền quyết định việc đầu tư, mua sắm, thuê các hoạt động ứng dụng công nghệ thông tin sử dụng kinh phí chi thường xuyên nguồn vốn ngân sách nhà nước thuộc phạm vi quản lý tỉnh An Giang.</w:t>
            </w:r>
          </w:p>
          <w:p w14:paraId="4FB27887" w14:textId="77777777" w:rsidR="00252662" w:rsidRPr="0086180A" w:rsidRDefault="00252662" w:rsidP="0086180A">
            <w:pPr>
              <w:autoSpaceDE w:val="0"/>
              <w:autoSpaceDN w:val="0"/>
              <w:adjustRightInd w:val="0"/>
              <w:spacing w:before="120" w:after="120"/>
              <w:ind w:left="145" w:right="54"/>
              <w:jc w:val="both"/>
              <w:rPr>
                <w:rFonts w:ascii="Times New Roman" w:hAnsi="Times New Roman" w:cs="Times New Roman"/>
                <w:color w:val="auto"/>
                <w:sz w:val="28"/>
                <w:szCs w:val="28"/>
              </w:rPr>
            </w:pPr>
            <w:r w:rsidRPr="0086180A">
              <w:rPr>
                <w:rFonts w:ascii="Times New Roman" w:hAnsi="Times New Roman" w:cs="Times New Roman"/>
                <w:color w:val="auto"/>
                <w:sz w:val="28"/>
                <w:szCs w:val="28"/>
              </w:rPr>
              <w:t xml:space="preserve">b) Đối với việc mua sắm hàng hóa, dịch vụ thực hiện nhiệm vụ khoa học và công nghệ thuộc phần kinh phí được giao khoán của nhiệm vụ khoa học và công nghệ có sử dụng ngân sách nhà nước thực hiện theo quy định tại khoản 3 Điều 134 Nghị định số 24/2024/NĐ-CP ngày 27 tháng 02 năm 2024 của </w:t>
            </w:r>
            <w:r w:rsidRPr="0086180A">
              <w:rPr>
                <w:rFonts w:ascii="Times New Roman" w:hAnsi="Times New Roman" w:cs="Times New Roman"/>
                <w:color w:val="auto"/>
                <w:sz w:val="28"/>
                <w:szCs w:val="28"/>
              </w:rPr>
              <w:lastRenderedPageBreak/>
              <w:t>Chính phủ quy định chi tiết một số điều và biện pháp thi hành Luật Đấu thầu về lựa chọn nhà thầu.</w:t>
            </w:r>
          </w:p>
          <w:p w14:paraId="0CC6B414" w14:textId="77777777" w:rsidR="00252662" w:rsidRPr="0086180A" w:rsidRDefault="00252662" w:rsidP="0086180A">
            <w:pPr>
              <w:shd w:val="clear" w:color="auto" w:fill="FFFFFF"/>
              <w:spacing w:before="120" w:after="120"/>
              <w:ind w:left="145" w:right="54"/>
              <w:jc w:val="both"/>
              <w:rPr>
                <w:rFonts w:ascii="Times New Roman" w:hAnsi="Times New Roman" w:cs="Times New Roman"/>
                <w:color w:val="auto"/>
                <w:sz w:val="28"/>
                <w:szCs w:val="28"/>
                <w:lang w:eastAsia="ja-JP"/>
              </w:rPr>
            </w:pPr>
            <w:r w:rsidRPr="0086180A">
              <w:rPr>
                <w:rFonts w:ascii="Times New Roman" w:hAnsi="Times New Roman" w:cs="Times New Roman"/>
                <w:color w:val="auto"/>
                <w:sz w:val="28"/>
                <w:szCs w:val="28"/>
                <w:lang w:eastAsia="ja-JP"/>
              </w:rPr>
              <w:t>2. Đối tượng áp dụng</w:t>
            </w:r>
          </w:p>
          <w:p w14:paraId="3DF71F5C" w14:textId="77777777" w:rsidR="00252662" w:rsidRPr="0086180A" w:rsidRDefault="00252662" w:rsidP="0086180A">
            <w:pPr>
              <w:shd w:val="clear" w:color="auto" w:fill="FFFFFF"/>
              <w:spacing w:before="120" w:after="120"/>
              <w:ind w:left="145" w:right="54"/>
              <w:jc w:val="both"/>
              <w:rPr>
                <w:rFonts w:ascii="Times New Roman" w:hAnsi="Times New Roman" w:cs="Times New Roman"/>
                <w:color w:val="auto"/>
                <w:sz w:val="28"/>
                <w:szCs w:val="28"/>
              </w:rPr>
            </w:pPr>
            <w:r w:rsidRPr="0086180A">
              <w:rPr>
                <w:rFonts w:ascii="Times New Roman" w:hAnsi="Times New Roman" w:cs="Times New Roman"/>
                <w:color w:val="auto"/>
                <w:sz w:val="28"/>
                <w:szCs w:val="28"/>
                <w:lang w:val="sv-SE"/>
              </w:rPr>
              <w:t>a) Các cơ quan, tổ chức, đơn vị, cá nhân thực hiện nhiệm vụ khoa học và công nghệ sử dụng ngân sách nhà nước đối với nguồn kinh phí thuộc phạm vi quản lý của tỉnh An Giang.</w:t>
            </w:r>
          </w:p>
          <w:p w14:paraId="4C7AD9D3" w14:textId="77777777" w:rsidR="00252662" w:rsidRPr="0086180A" w:rsidRDefault="00252662" w:rsidP="0086180A">
            <w:pPr>
              <w:shd w:val="clear" w:color="auto" w:fill="FFFFFF"/>
              <w:spacing w:before="120" w:after="120"/>
              <w:ind w:left="145" w:right="54"/>
              <w:jc w:val="both"/>
              <w:rPr>
                <w:rFonts w:ascii="Times New Roman" w:hAnsi="Times New Roman" w:cs="Times New Roman"/>
                <w:color w:val="auto"/>
                <w:spacing w:val="-2"/>
                <w:sz w:val="28"/>
                <w:szCs w:val="28"/>
              </w:rPr>
            </w:pPr>
            <w:r w:rsidRPr="0086180A">
              <w:rPr>
                <w:rFonts w:ascii="Times New Roman" w:hAnsi="Times New Roman" w:cs="Times New Roman"/>
                <w:color w:val="auto"/>
                <w:spacing w:val="-2"/>
                <w:sz w:val="28"/>
                <w:szCs w:val="28"/>
              </w:rPr>
              <w:t>b) Các cơ quan, tổ chức, đơn vị, cá nhân thực hiện mua sắm hàng hóa, dịch vụ sử dụng nguồn kinh phí khoa học và công nghệ thuộc phạm vi quản lý của tỉnh An Giang (bao gồm cả việc mua sắm tại cơ quan, đơn vị thuộc phạm vi quản lý của tỉnh An Giang và cơ quan, tổ chức, đơn vị, cá nhân khác thực hiện nhiệm vụ khoa học và công nghệ không thuộc phạm vi quản lý của tỉnh An Giang).</w:t>
            </w:r>
          </w:p>
          <w:p w14:paraId="41563C15" w14:textId="37A724A1" w:rsidR="001A6CB6" w:rsidRPr="0086180A" w:rsidRDefault="00252662" w:rsidP="0086180A">
            <w:pPr>
              <w:shd w:val="clear" w:color="auto" w:fill="FFFFFF"/>
              <w:spacing w:before="120" w:after="120"/>
              <w:ind w:left="145" w:right="54"/>
              <w:jc w:val="both"/>
              <w:rPr>
                <w:rFonts w:ascii="Times New Roman" w:hAnsi="Times New Roman" w:cs="Times New Roman"/>
                <w:color w:val="auto"/>
                <w:sz w:val="28"/>
                <w:szCs w:val="28"/>
                <w:lang w:val="en-US"/>
              </w:rPr>
            </w:pPr>
            <w:r w:rsidRPr="0086180A">
              <w:rPr>
                <w:rFonts w:ascii="Times New Roman" w:hAnsi="Times New Roman" w:cs="Times New Roman"/>
                <w:color w:val="auto"/>
                <w:sz w:val="28"/>
                <w:szCs w:val="28"/>
              </w:rPr>
              <w:t>c) Các cơ quan, đơn vị, tổ chức, cá nhân có liên quan đến việc thực hiện đầu tư, mua sắm các hoạt động ứng dụng công nghệ thông tin, hoạt động thuê dịch vụ công nghệ thông tin sử dụng kinh phí chi thường xuyên nguồn vốn ngân sách nhà nước thuộc phạm vi quản lý của tỉnh An Giang</w:t>
            </w:r>
          </w:p>
        </w:tc>
        <w:tc>
          <w:tcPr>
            <w:tcW w:w="2422" w:type="pct"/>
            <w:shd w:val="clear" w:color="auto" w:fill="FFFFFF"/>
          </w:tcPr>
          <w:p w14:paraId="237D10EE" w14:textId="55CD8422" w:rsidR="00252662" w:rsidRPr="0086180A" w:rsidRDefault="003F0944" w:rsidP="0086180A">
            <w:pPr>
              <w:spacing w:before="120" w:after="120"/>
              <w:ind w:left="141" w:right="146"/>
              <w:jc w:val="both"/>
              <w:rPr>
                <w:rFonts w:ascii="Times New Roman" w:hAnsi="Times New Roman" w:cs="Times New Roman"/>
                <w:color w:val="auto"/>
                <w:sz w:val="28"/>
                <w:szCs w:val="28"/>
                <w:lang w:val="en-US"/>
              </w:rPr>
            </w:pPr>
            <w:r w:rsidRPr="0086180A">
              <w:rPr>
                <w:rFonts w:ascii="Times New Roman" w:hAnsi="Times New Roman" w:cs="Times New Roman"/>
                <w:b/>
                <w:color w:val="auto"/>
                <w:sz w:val="28"/>
                <w:szCs w:val="28"/>
                <w:lang w:val="en-US"/>
              </w:rPr>
              <w:lastRenderedPageBreak/>
              <w:t>1. Phạm vi điều chỉnh</w:t>
            </w:r>
            <w:r w:rsidR="005D3189" w:rsidRPr="0086180A">
              <w:rPr>
                <w:rFonts w:ascii="Times New Roman" w:hAnsi="Times New Roman" w:cs="Times New Roman"/>
                <w:b/>
                <w:color w:val="auto"/>
                <w:sz w:val="28"/>
                <w:szCs w:val="28"/>
                <w:lang w:val="en-US"/>
              </w:rPr>
              <w:t>:</w:t>
            </w:r>
            <w:r w:rsidRPr="0086180A">
              <w:rPr>
                <w:rFonts w:ascii="Times New Roman" w:hAnsi="Times New Roman" w:cs="Times New Roman"/>
                <w:color w:val="auto"/>
                <w:sz w:val="28"/>
                <w:szCs w:val="28"/>
                <w:lang w:val="en-US"/>
              </w:rPr>
              <w:t xml:space="preserve"> được xác định căn cứ theo các nội dung cụ thể được quy định tại</w:t>
            </w:r>
            <w:r w:rsidR="005D3189" w:rsidRPr="0086180A">
              <w:rPr>
                <w:rFonts w:ascii="Times New Roman" w:hAnsi="Times New Roman" w:cs="Times New Roman"/>
                <w:color w:val="auto"/>
                <w:sz w:val="28"/>
                <w:szCs w:val="28"/>
                <w:lang w:val="en-US"/>
              </w:rPr>
              <w:t xml:space="preserve"> điểm c khoản 1, điểm b khoản 2 Điều 91 Nghị định số 24/2024/NĐ-CP </w:t>
            </w:r>
            <w:r w:rsidR="00516486" w:rsidRPr="0086180A">
              <w:rPr>
                <w:rFonts w:ascii="Times New Roman" w:hAnsi="Times New Roman" w:cs="Times New Roman"/>
                <w:color w:val="auto"/>
                <w:sz w:val="28"/>
                <w:szCs w:val="28"/>
                <w:shd w:val="clear" w:color="auto" w:fill="FFFFFF"/>
              </w:rPr>
              <w:t>ngày 27 tháng 02 năm 2024 của Chính phủ quy định chi tiết một số điều và biện pháp thi hành Luật Đấu thầu về lựa chọn nhà thầu</w:t>
            </w:r>
            <w:r w:rsidR="00516486" w:rsidRPr="0086180A">
              <w:rPr>
                <w:rFonts w:ascii="Times New Roman" w:hAnsi="Times New Roman" w:cs="Times New Roman"/>
                <w:color w:val="auto"/>
                <w:sz w:val="28"/>
                <w:szCs w:val="28"/>
                <w:lang w:val="en-US"/>
              </w:rPr>
              <w:t xml:space="preserve"> </w:t>
            </w:r>
            <w:r w:rsidR="005D3189" w:rsidRPr="0086180A">
              <w:rPr>
                <w:rFonts w:ascii="Times New Roman" w:hAnsi="Times New Roman" w:cs="Times New Roman"/>
                <w:color w:val="auto"/>
                <w:sz w:val="28"/>
                <w:szCs w:val="28"/>
                <w:lang w:val="en-US"/>
              </w:rPr>
              <w:t>và Điều 51 Nghị định số 73/2019/NĐ-CP</w:t>
            </w:r>
            <w:r w:rsidR="00516486" w:rsidRPr="0086180A">
              <w:rPr>
                <w:rFonts w:ascii="Times New Roman" w:hAnsi="Times New Roman" w:cs="Times New Roman"/>
                <w:color w:val="auto"/>
                <w:sz w:val="28"/>
                <w:szCs w:val="28"/>
                <w:lang w:val="en-US"/>
              </w:rPr>
              <w:t xml:space="preserve"> </w:t>
            </w:r>
            <w:r w:rsidR="00516486" w:rsidRPr="0086180A">
              <w:rPr>
                <w:rFonts w:ascii="Times New Roman" w:hAnsi="Times New Roman" w:cs="Times New Roman"/>
                <w:iCs/>
                <w:color w:val="auto"/>
                <w:spacing w:val="-2"/>
                <w:sz w:val="28"/>
                <w:szCs w:val="28"/>
              </w:rPr>
              <w:t>ngày 05 tháng 9 năm 2019 của Chính phủ quy định quản lý đầu tư ứng dụng công nghệ thông tin sử dụng nguồn vốn ngân sách nhà nước</w:t>
            </w:r>
            <w:r w:rsidR="005D3189" w:rsidRPr="0086180A">
              <w:rPr>
                <w:rFonts w:ascii="Times New Roman" w:hAnsi="Times New Roman" w:cs="Times New Roman"/>
                <w:color w:val="auto"/>
                <w:sz w:val="28"/>
                <w:szCs w:val="28"/>
                <w:lang w:val="en-US"/>
              </w:rPr>
              <w:t xml:space="preserve"> được sửa đổi, bổ sung tại khoản 28 Điều 1 Nghị định số 82/2024/NĐ-CP.</w:t>
            </w:r>
          </w:p>
          <w:p w14:paraId="0CBAD5E5" w14:textId="5E6E3A5C" w:rsidR="005D3189" w:rsidRPr="0086180A" w:rsidRDefault="005D3189" w:rsidP="00CA7AF7">
            <w:pPr>
              <w:spacing w:before="120" w:after="120"/>
              <w:ind w:left="141" w:right="146"/>
              <w:jc w:val="both"/>
              <w:rPr>
                <w:rFonts w:ascii="Times New Roman" w:hAnsi="Times New Roman" w:cs="Times New Roman"/>
                <w:color w:val="auto"/>
                <w:sz w:val="28"/>
                <w:szCs w:val="28"/>
                <w:lang w:val="en-US"/>
              </w:rPr>
            </w:pPr>
            <w:r w:rsidRPr="0086180A">
              <w:rPr>
                <w:rFonts w:ascii="Times New Roman" w:hAnsi="Times New Roman" w:cs="Times New Roman"/>
                <w:b/>
                <w:color w:val="auto"/>
                <w:sz w:val="28"/>
                <w:szCs w:val="28"/>
                <w:lang w:val="en-US"/>
              </w:rPr>
              <w:t>2. Các đối tượng áp dụng:</w:t>
            </w:r>
            <w:r w:rsidRPr="0086180A">
              <w:rPr>
                <w:rFonts w:ascii="Times New Roman" w:hAnsi="Times New Roman" w:cs="Times New Roman"/>
                <w:color w:val="auto"/>
                <w:sz w:val="28"/>
                <w:szCs w:val="28"/>
                <w:lang w:val="en-US"/>
              </w:rPr>
              <w:t xml:space="preserve"> được xác định </w:t>
            </w:r>
            <w:r w:rsidR="00CA7AF7" w:rsidRPr="0086180A">
              <w:rPr>
                <w:rFonts w:ascii="Times New Roman" w:hAnsi="Times New Roman" w:cs="Times New Roman"/>
                <w:color w:val="auto"/>
                <w:sz w:val="28"/>
                <w:szCs w:val="28"/>
                <w:lang w:val="en-US"/>
              </w:rPr>
              <w:t xml:space="preserve">căn cứ theo các nội dung cụ thể </w:t>
            </w:r>
            <w:r w:rsidRPr="0086180A">
              <w:rPr>
                <w:rFonts w:ascii="Times New Roman" w:hAnsi="Times New Roman" w:cs="Times New Roman"/>
                <w:color w:val="auto"/>
                <w:sz w:val="28"/>
                <w:szCs w:val="28"/>
                <w:lang w:val="en-US"/>
              </w:rPr>
              <w:t>quy định tại điểm c khoản 1</w:t>
            </w:r>
            <w:r w:rsidR="0056584F">
              <w:rPr>
                <w:rFonts w:ascii="Times New Roman" w:hAnsi="Times New Roman" w:cs="Times New Roman"/>
                <w:color w:val="auto"/>
                <w:sz w:val="28"/>
                <w:szCs w:val="28"/>
                <w:lang w:val="en-US"/>
              </w:rPr>
              <w:t xml:space="preserve">; </w:t>
            </w:r>
            <w:r w:rsidRPr="0086180A">
              <w:rPr>
                <w:rFonts w:ascii="Times New Roman" w:hAnsi="Times New Roman" w:cs="Times New Roman"/>
                <w:color w:val="auto"/>
                <w:sz w:val="28"/>
                <w:szCs w:val="28"/>
                <w:lang w:val="en-US"/>
              </w:rPr>
              <w:t>điểm b khoản 2 Điều 91 Nghị định số 24/2024/NĐ-CP và Điều 51 Nghị định số 73/2019/NĐ-CP được sửa đổi, bổ sung tại khoản 28 Điều 1 Nghị định số 82/2024/NĐ-CP và các đối tượng có liên quan đến việc thực hiện Nghị quyết.</w:t>
            </w:r>
          </w:p>
        </w:tc>
      </w:tr>
      <w:tr w:rsidR="0086180A" w:rsidRPr="0086180A" w14:paraId="51A189C8" w14:textId="77777777" w:rsidTr="0086180A">
        <w:tc>
          <w:tcPr>
            <w:tcW w:w="2578" w:type="pct"/>
            <w:shd w:val="clear" w:color="auto" w:fill="FFFFFF"/>
          </w:tcPr>
          <w:p w14:paraId="10766089" w14:textId="77777777" w:rsidR="00252662" w:rsidRPr="0086180A" w:rsidRDefault="00252662" w:rsidP="0086180A">
            <w:pPr>
              <w:shd w:val="clear" w:color="auto" w:fill="FFFFFF"/>
              <w:spacing w:before="120" w:after="120"/>
              <w:ind w:left="145" w:right="54"/>
              <w:jc w:val="both"/>
              <w:rPr>
                <w:rFonts w:ascii="Times New Roman Bold" w:hAnsi="Times New Roman Bold" w:cs="Times New Roman"/>
                <w:b/>
                <w:color w:val="auto"/>
                <w:spacing w:val="-2"/>
                <w:sz w:val="28"/>
                <w:szCs w:val="28"/>
              </w:rPr>
            </w:pPr>
            <w:r w:rsidRPr="0086180A">
              <w:rPr>
                <w:rFonts w:ascii="Times New Roman Bold" w:hAnsi="Times New Roman Bold" w:cs="Times New Roman"/>
                <w:b/>
                <w:color w:val="auto"/>
                <w:spacing w:val="-2"/>
                <w:sz w:val="28"/>
                <w:szCs w:val="28"/>
              </w:rPr>
              <w:lastRenderedPageBreak/>
              <w:t>Điều 2. T</w:t>
            </w:r>
            <w:r w:rsidRPr="0086180A">
              <w:rPr>
                <w:rFonts w:ascii="Times New Roman Bold" w:hAnsi="Times New Roman Bold" w:cs="Times New Roman"/>
                <w:b/>
                <w:bCs/>
                <w:color w:val="auto"/>
                <w:spacing w:val="-2"/>
                <w:sz w:val="28"/>
                <w:szCs w:val="28"/>
              </w:rPr>
              <w:t xml:space="preserve">hẩm quyền </w:t>
            </w:r>
            <w:r w:rsidRPr="0086180A">
              <w:rPr>
                <w:rFonts w:ascii="Times New Roman Bold" w:hAnsi="Times New Roman Bold" w:cs="Times New Roman"/>
                <w:b/>
                <w:bCs/>
                <w:color w:val="auto"/>
                <w:spacing w:val="-2"/>
                <w:sz w:val="28"/>
                <w:szCs w:val="28"/>
                <w:lang w:val="nl-NL"/>
              </w:rPr>
              <w:t xml:space="preserve">quyết định việc mua sắm tài sản, </w:t>
            </w:r>
            <w:r w:rsidRPr="0086180A">
              <w:rPr>
                <w:rFonts w:ascii="Times New Roman Bold" w:hAnsi="Times New Roman Bold" w:cs="Times New Roman"/>
                <w:b/>
                <w:color w:val="auto"/>
                <w:spacing w:val="-2"/>
                <w:sz w:val="28"/>
                <w:szCs w:val="28"/>
                <w:lang w:eastAsia="ja-JP"/>
              </w:rPr>
              <w:t>hàng hóa, dịch vụ thuộc lĩnh vực khoa học và công nghệ</w:t>
            </w:r>
          </w:p>
          <w:p w14:paraId="28622CA1" w14:textId="77777777" w:rsidR="00252662" w:rsidRPr="0086180A" w:rsidRDefault="00252662" w:rsidP="0086180A">
            <w:pPr>
              <w:shd w:val="clear" w:color="auto" w:fill="FFFFFF"/>
              <w:spacing w:before="120" w:after="120"/>
              <w:ind w:left="145" w:right="54"/>
              <w:jc w:val="both"/>
              <w:rPr>
                <w:rFonts w:ascii="Times New Roman" w:hAnsi="Times New Roman" w:cs="Times New Roman"/>
                <w:bCs/>
                <w:color w:val="auto"/>
                <w:sz w:val="28"/>
                <w:szCs w:val="28"/>
              </w:rPr>
            </w:pPr>
            <w:r w:rsidRPr="0086180A">
              <w:rPr>
                <w:rFonts w:ascii="Times New Roman" w:hAnsi="Times New Roman" w:cs="Times New Roman"/>
                <w:bCs/>
                <w:color w:val="auto"/>
                <w:sz w:val="28"/>
                <w:szCs w:val="28"/>
              </w:rPr>
              <w:t xml:space="preserve">1. Thẩm quyền quyết định việc mua sắm tài sản </w:t>
            </w:r>
            <w:r w:rsidRPr="0086180A">
              <w:rPr>
                <w:rFonts w:ascii="Times New Roman" w:hAnsi="Times New Roman" w:cs="Times New Roman"/>
                <w:bCs/>
                <w:iCs/>
                <w:color w:val="auto"/>
                <w:sz w:val="28"/>
                <w:szCs w:val="28"/>
              </w:rPr>
              <w:t xml:space="preserve">của các nhiệm vụ khoa học và công nghệ (nhiệm vụ khoa học và công nghệ cấp tỉnh, cấp cơ sở và cấp quốc gia ủy quyền cho tỉnh An Giang quản lý) sử dụng ngân sách nhà nước đối với nguồn kinh phí thuộc phạm vi quản lý của </w:t>
            </w:r>
            <w:r w:rsidRPr="0086180A">
              <w:rPr>
                <w:rFonts w:ascii="Times New Roman" w:hAnsi="Times New Roman" w:cs="Times New Roman"/>
                <w:bCs/>
                <w:color w:val="auto"/>
                <w:sz w:val="28"/>
                <w:szCs w:val="28"/>
              </w:rPr>
              <w:t>tỉnh An Giang</w:t>
            </w:r>
          </w:p>
          <w:p w14:paraId="5956F38E" w14:textId="77777777" w:rsidR="00252662" w:rsidRPr="0086180A" w:rsidRDefault="00252662" w:rsidP="0086180A">
            <w:pPr>
              <w:shd w:val="clear" w:color="auto" w:fill="FFFFFF"/>
              <w:spacing w:before="120" w:after="120"/>
              <w:ind w:left="145" w:right="54"/>
              <w:jc w:val="both"/>
              <w:rPr>
                <w:rFonts w:ascii="Times New Roman" w:hAnsi="Times New Roman" w:cs="Times New Roman"/>
                <w:color w:val="auto"/>
                <w:sz w:val="28"/>
                <w:szCs w:val="28"/>
              </w:rPr>
            </w:pPr>
            <w:r w:rsidRPr="0086180A">
              <w:rPr>
                <w:rFonts w:ascii="Times New Roman" w:hAnsi="Times New Roman" w:cs="Times New Roman"/>
                <w:color w:val="auto"/>
                <w:sz w:val="28"/>
                <w:szCs w:val="28"/>
              </w:rPr>
              <w:t xml:space="preserve">a) Chủ tịch Ủy ban nhân dân tỉnh quyết định việc mua sắm tài sản đối với gói thầu, nội dung mua sắm có giá trị từ 05 </w:t>
            </w:r>
            <w:r w:rsidRPr="0086180A">
              <w:rPr>
                <w:rFonts w:ascii="Times New Roman" w:hAnsi="Times New Roman" w:cs="Times New Roman"/>
                <w:color w:val="auto"/>
                <w:sz w:val="28"/>
                <w:szCs w:val="28"/>
              </w:rPr>
              <w:lastRenderedPageBreak/>
              <w:t>tỷ đồng trở lên.</w:t>
            </w:r>
          </w:p>
          <w:p w14:paraId="77CA6AF8" w14:textId="77777777" w:rsidR="00252662" w:rsidRPr="0086180A" w:rsidRDefault="00252662" w:rsidP="0086180A">
            <w:pPr>
              <w:shd w:val="clear" w:color="auto" w:fill="FFFFFF"/>
              <w:spacing w:before="120" w:after="120"/>
              <w:ind w:left="145" w:right="54"/>
              <w:jc w:val="both"/>
              <w:rPr>
                <w:rFonts w:ascii="Times New Roman" w:hAnsi="Times New Roman" w:cs="Times New Roman"/>
                <w:color w:val="auto"/>
                <w:sz w:val="28"/>
                <w:szCs w:val="28"/>
              </w:rPr>
            </w:pPr>
            <w:r w:rsidRPr="0086180A">
              <w:rPr>
                <w:rFonts w:ascii="Times New Roman" w:hAnsi="Times New Roman" w:cs="Times New Roman"/>
                <w:color w:val="auto"/>
                <w:sz w:val="28"/>
                <w:szCs w:val="28"/>
              </w:rPr>
              <w:t>b) Thủ trưởng các cơ quan, đơn vị được Ủy ban nhân dân tỉnh giao quản lý nhiệm vụ khoa học và công nghệ quyết định việc mua sắm tài sản đối với gói thầu, nội dung mua sắm có giá trị từ 200 triệu đồng đến dưới 05 tỷ đồng.</w:t>
            </w:r>
          </w:p>
          <w:p w14:paraId="2B76AAE0" w14:textId="77777777" w:rsidR="00252662" w:rsidRPr="0086180A" w:rsidRDefault="00252662" w:rsidP="0086180A">
            <w:pPr>
              <w:spacing w:before="120" w:after="120"/>
              <w:ind w:left="145" w:right="54"/>
              <w:jc w:val="both"/>
              <w:rPr>
                <w:rFonts w:ascii="Times New Roman" w:eastAsiaTheme="minorHAnsi" w:hAnsi="Times New Roman" w:cs="Times New Roman"/>
                <w:color w:val="auto"/>
                <w:sz w:val="28"/>
                <w:szCs w:val="28"/>
              </w:rPr>
            </w:pPr>
            <w:r w:rsidRPr="0086180A">
              <w:rPr>
                <w:rFonts w:ascii="Times New Roman" w:hAnsi="Times New Roman" w:cs="Times New Roman"/>
                <w:color w:val="auto"/>
                <w:sz w:val="28"/>
                <w:szCs w:val="28"/>
              </w:rPr>
              <w:t>c) Thủ trưởng T</w:t>
            </w:r>
            <w:r w:rsidRPr="0086180A">
              <w:rPr>
                <w:rFonts w:ascii="Times New Roman" w:eastAsiaTheme="minorHAnsi" w:hAnsi="Times New Roman" w:cs="Times New Roman"/>
                <w:color w:val="auto"/>
                <w:sz w:val="28"/>
                <w:szCs w:val="28"/>
              </w:rPr>
              <w:t>ổ chức chủ trì thực hiện nhiệm vụ khoa học và công nghệ quyết định mua sắm tài sản đối với gói thầu, nội dung mua sắm có giá trị không quá 200 triệu đồng.</w:t>
            </w:r>
          </w:p>
          <w:p w14:paraId="028613BE" w14:textId="77777777" w:rsidR="00252662" w:rsidRPr="0086180A" w:rsidRDefault="00252662" w:rsidP="0086180A">
            <w:pPr>
              <w:spacing w:before="120" w:after="120"/>
              <w:ind w:left="145" w:right="54"/>
              <w:jc w:val="both"/>
              <w:rPr>
                <w:rFonts w:ascii="Times New Roman" w:eastAsiaTheme="minorHAnsi" w:hAnsi="Times New Roman" w:cs="Times New Roman"/>
                <w:color w:val="auto"/>
                <w:sz w:val="28"/>
                <w:szCs w:val="28"/>
              </w:rPr>
            </w:pPr>
            <w:r w:rsidRPr="0086180A">
              <w:rPr>
                <w:rFonts w:ascii="Times New Roman" w:hAnsi="Times New Roman" w:cs="Times New Roman"/>
                <w:bCs/>
                <w:color w:val="auto"/>
                <w:sz w:val="28"/>
                <w:szCs w:val="28"/>
              </w:rPr>
              <w:t>2.</w:t>
            </w:r>
            <w:r w:rsidRPr="0086180A">
              <w:rPr>
                <w:rFonts w:ascii="Times New Roman" w:hAnsi="Times New Roman" w:cs="Times New Roman"/>
                <w:b/>
                <w:bCs/>
                <w:color w:val="auto"/>
                <w:sz w:val="28"/>
                <w:szCs w:val="28"/>
              </w:rPr>
              <w:t xml:space="preserve"> </w:t>
            </w:r>
            <w:r w:rsidRPr="0086180A">
              <w:rPr>
                <w:rFonts w:ascii="Times New Roman" w:eastAsiaTheme="minorHAnsi" w:hAnsi="Times New Roman" w:cs="Times New Roman"/>
                <w:color w:val="auto"/>
                <w:sz w:val="28"/>
                <w:szCs w:val="28"/>
              </w:rPr>
              <w:t>Thẩm quyền quyết định việc mua sắm hàng hóa, dịch vụ không thuộc các trường hợp quy định tại khoản 1 Điều này đối với nguồn kinh phí khoa học và công nghệ thuộc phạm vi quản lý của tỉnh An Giang</w:t>
            </w:r>
          </w:p>
          <w:p w14:paraId="6CB0149F" w14:textId="77777777" w:rsidR="00252662" w:rsidRPr="0086180A" w:rsidRDefault="00252662" w:rsidP="0086180A">
            <w:pPr>
              <w:shd w:val="clear" w:color="auto" w:fill="FFFFFF"/>
              <w:spacing w:before="120" w:after="120"/>
              <w:ind w:left="145" w:right="54"/>
              <w:jc w:val="both"/>
              <w:rPr>
                <w:rFonts w:ascii="Times New Roman" w:hAnsi="Times New Roman" w:cs="Times New Roman"/>
                <w:color w:val="auto"/>
                <w:sz w:val="28"/>
                <w:szCs w:val="28"/>
              </w:rPr>
            </w:pPr>
            <w:r w:rsidRPr="0086180A">
              <w:rPr>
                <w:rFonts w:ascii="Times New Roman" w:hAnsi="Times New Roman" w:cs="Times New Roman"/>
                <w:bCs/>
                <w:color w:val="auto"/>
                <w:sz w:val="28"/>
                <w:szCs w:val="28"/>
              </w:rPr>
              <w:t>a)</w:t>
            </w:r>
            <w:r w:rsidRPr="0086180A">
              <w:rPr>
                <w:rFonts w:ascii="Times New Roman" w:hAnsi="Times New Roman" w:cs="Times New Roman"/>
                <w:b/>
                <w:bCs/>
                <w:color w:val="auto"/>
                <w:sz w:val="28"/>
                <w:szCs w:val="28"/>
              </w:rPr>
              <w:t xml:space="preserve"> </w:t>
            </w:r>
            <w:r w:rsidRPr="0086180A">
              <w:rPr>
                <w:rFonts w:ascii="Times New Roman" w:eastAsiaTheme="minorHAnsi" w:hAnsi="Times New Roman" w:cs="Times New Roman"/>
                <w:color w:val="auto"/>
                <w:sz w:val="28"/>
                <w:szCs w:val="28"/>
              </w:rPr>
              <w:t xml:space="preserve">Chủ tịch Ủy ban nhân dân tỉnh quyết định việc mua sắm hàng hóa, dịch vụ đối với gói thầu, nội dung mua sắm </w:t>
            </w:r>
            <w:r w:rsidRPr="0086180A">
              <w:rPr>
                <w:rFonts w:ascii="Times New Roman" w:hAnsi="Times New Roman" w:cs="Times New Roman"/>
                <w:color w:val="auto"/>
                <w:sz w:val="28"/>
                <w:szCs w:val="28"/>
              </w:rPr>
              <w:t>có giá trị từ 05 tỷ đồng trở lên.</w:t>
            </w:r>
          </w:p>
          <w:p w14:paraId="3A14053C" w14:textId="77777777" w:rsidR="00252662" w:rsidRPr="0086180A" w:rsidRDefault="00252662" w:rsidP="0086180A">
            <w:pPr>
              <w:spacing w:before="120" w:after="120"/>
              <w:ind w:left="145" w:right="54"/>
              <w:jc w:val="both"/>
              <w:rPr>
                <w:rFonts w:ascii="Times New Roman" w:hAnsi="Times New Roman" w:cs="Times New Roman"/>
                <w:color w:val="auto"/>
                <w:sz w:val="28"/>
                <w:szCs w:val="28"/>
              </w:rPr>
            </w:pPr>
            <w:r w:rsidRPr="0086180A">
              <w:rPr>
                <w:rFonts w:ascii="Times New Roman" w:hAnsi="Times New Roman" w:cs="Times New Roman"/>
                <w:bCs/>
                <w:color w:val="auto"/>
                <w:sz w:val="28"/>
                <w:szCs w:val="28"/>
              </w:rPr>
              <w:t xml:space="preserve">b) Thủ trưởng các cơ quan, đơn vị được giao kinh phí từ nguồn sự nghiệp khoa học và công nghệ (Giám đốc Sở Khoa học và Công nghệ; Chủ tịch Liên hiệp các Hội khoa học và kỹ thuật tỉnh An Giang; Hiệp Hội nghề nuôi và chế biến thuỷ sản tỉnh An Giang…) </w:t>
            </w:r>
            <w:r w:rsidRPr="0086180A">
              <w:rPr>
                <w:rFonts w:ascii="Times New Roman" w:eastAsiaTheme="minorHAnsi" w:hAnsi="Times New Roman" w:cs="Times New Roman"/>
                <w:color w:val="auto"/>
                <w:sz w:val="28"/>
                <w:szCs w:val="28"/>
              </w:rPr>
              <w:t xml:space="preserve">quyết định mua sắm hàng hóa, dịch vụ đối với gói thầu, nội dung mua sắm </w:t>
            </w:r>
            <w:r w:rsidRPr="0086180A">
              <w:rPr>
                <w:rFonts w:ascii="Times New Roman" w:hAnsi="Times New Roman" w:cs="Times New Roman"/>
                <w:color w:val="auto"/>
                <w:sz w:val="28"/>
                <w:szCs w:val="28"/>
              </w:rPr>
              <w:t>có giá trị đến dưới 05 tỷ đồng mua sắm tại cơ quan, tổ chức, đơn vị thuộc phạm vi quản lý (trừ trường hợp quy định tại điểm c khoản 2 Điều này).</w:t>
            </w:r>
          </w:p>
          <w:p w14:paraId="2D19A7BD" w14:textId="77777777" w:rsidR="00252662" w:rsidRPr="0086180A" w:rsidRDefault="00252662" w:rsidP="0086180A">
            <w:pPr>
              <w:spacing w:before="120" w:after="120"/>
              <w:ind w:left="145" w:right="54"/>
              <w:jc w:val="both"/>
              <w:rPr>
                <w:rFonts w:ascii="Times New Roman" w:eastAsiaTheme="minorHAnsi" w:hAnsi="Times New Roman" w:cs="Times New Roman"/>
                <w:color w:val="auto"/>
                <w:sz w:val="28"/>
                <w:szCs w:val="28"/>
              </w:rPr>
            </w:pPr>
            <w:r w:rsidRPr="0086180A">
              <w:rPr>
                <w:rFonts w:ascii="Times New Roman" w:hAnsi="Times New Roman" w:cs="Times New Roman"/>
                <w:color w:val="auto"/>
                <w:sz w:val="28"/>
                <w:szCs w:val="28"/>
              </w:rPr>
              <w:t xml:space="preserve">c) </w:t>
            </w:r>
            <w:r w:rsidRPr="0086180A">
              <w:rPr>
                <w:rFonts w:ascii="Times New Roman" w:eastAsiaTheme="minorHAnsi" w:hAnsi="Times New Roman" w:cs="Times New Roman"/>
                <w:color w:val="auto"/>
                <w:sz w:val="28"/>
                <w:szCs w:val="28"/>
              </w:rPr>
              <w:t>Thủ trưởng đơn vị dự toán thuộc Sở Khoa học và Công nghệ</w:t>
            </w:r>
            <w:r w:rsidRPr="0086180A">
              <w:rPr>
                <w:rFonts w:ascii="Times New Roman" w:hAnsi="Times New Roman" w:cs="Times New Roman"/>
                <w:color w:val="auto"/>
                <w:sz w:val="28"/>
                <w:szCs w:val="28"/>
              </w:rPr>
              <w:t xml:space="preserve"> quyết định</w:t>
            </w:r>
            <w:r w:rsidRPr="0086180A">
              <w:rPr>
                <w:rFonts w:ascii="Times New Roman" w:eastAsiaTheme="minorHAnsi" w:hAnsi="Times New Roman" w:cs="Times New Roman"/>
                <w:color w:val="auto"/>
                <w:sz w:val="28"/>
                <w:szCs w:val="28"/>
              </w:rPr>
              <w:t xml:space="preserve"> mua sắm hàng hóa, dịch vụ đối với gói thầu, nội dung mua sắm có giá trị không quá 200 triệu đồng.</w:t>
            </w:r>
          </w:p>
          <w:p w14:paraId="4C44C870" w14:textId="77777777" w:rsidR="00252662" w:rsidRPr="0086180A" w:rsidRDefault="00252662" w:rsidP="0086180A">
            <w:pPr>
              <w:spacing w:before="120" w:after="120"/>
              <w:ind w:left="145" w:right="54"/>
              <w:jc w:val="both"/>
              <w:rPr>
                <w:rFonts w:ascii="Times New Roman" w:eastAsiaTheme="minorHAnsi" w:hAnsi="Times New Roman" w:cs="Times New Roman"/>
                <w:color w:val="auto"/>
                <w:sz w:val="28"/>
                <w:szCs w:val="28"/>
              </w:rPr>
            </w:pPr>
            <w:r w:rsidRPr="0086180A">
              <w:rPr>
                <w:rFonts w:ascii="Times New Roman" w:eastAsiaTheme="minorHAnsi" w:hAnsi="Times New Roman" w:cs="Times New Roman"/>
                <w:color w:val="auto"/>
                <w:sz w:val="28"/>
                <w:szCs w:val="28"/>
              </w:rPr>
              <w:t xml:space="preserve">d) </w:t>
            </w:r>
            <w:r w:rsidRPr="0086180A">
              <w:rPr>
                <w:rFonts w:ascii="Times New Roman" w:hAnsi="Times New Roman" w:cs="Times New Roman"/>
                <w:color w:val="auto"/>
                <w:sz w:val="28"/>
                <w:szCs w:val="28"/>
              </w:rPr>
              <w:t xml:space="preserve">Đối với việc mua sắm hàng hóa, dịch vụ thực hiện nhiệm vụ khoa học </w:t>
            </w:r>
            <w:r w:rsidRPr="0086180A">
              <w:rPr>
                <w:rFonts w:ascii="Times New Roman" w:hAnsi="Times New Roman" w:cs="Times New Roman"/>
                <w:color w:val="auto"/>
                <w:sz w:val="28"/>
                <w:szCs w:val="28"/>
              </w:rPr>
              <w:lastRenderedPageBreak/>
              <w:t>và công nghệ, thẩm quyền quyết định việc mua sắm áp dụng theo quy định tại khoản 1 Điều này.</w:t>
            </w:r>
          </w:p>
          <w:p w14:paraId="51182806" w14:textId="3E321C5A" w:rsidR="001A6CB6" w:rsidRPr="0086180A" w:rsidRDefault="00252662" w:rsidP="0086180A">
            <w:pPr>
              <w:autoSpaceDE w:val="0"/>
              <w:autoSpaceDN w:val="0"/>
              <w:adjustRightInd w:val="0"/>
              <w:spacing w:before="120" w:after="120"/>
              <w:ind w:left="145" w:right="54"/>
              <w:jc w:val="both"/>
              <w:rPr>
                <w:rFonts w:ascii="Times New Roman" w:hAnsi="Times New Roman" w:cs="Times New Roman"/>
                <w:color w:val="auto"/>
                <w:sz w:val="28"/>
                <w:szCs w:val="28"/>
                <w:lang w:val="en-US"/>
              </w:rPr>
            </w:pPr>
            <w:r w:rsidRPr="0086180A">
              <w:rPr>
                <w:rFonts w:ascii="Times New Roman" w:eastAsiaTheme="minorHAnsi" w:hAnsi="Times New Roman" w:cs="Times New Roman"/>
                <w:color w:val="auto"/>
                <w:sz w:val="28"/>
                <w:szCs w:val="28"/>
              </w:rPr>
              <w:t xml:space="preserve">3. Tổ chức chủ trì nhiệm vụ khoa học và công nghệ thực hiện trách nhiệm của chủ đầu tư trong việc thực hiện mua sắm, tổ chức đầu thầu và lựa chọn nhà thầu theo </w:t>
            </w:r>
            <w:r w:rsidRPr="0086180A">
              <w:rPr>
                <w:rFonts w:ascii="Times New Roman" w:hAnsi="Times New Roman" w:cs="Times New Roman"/>
                <w:color w:val="auto"/>
                <w:sz w:val="28"/>
                <w:szCs w:val="28"/>
              </w:rPr>
              <w:t>quy định của pháp luật về đấu thầu và pháp luật khác có liên quan.</w:t>
            </w:r>
          </w:p>
        </w:tc>
        <w:tc>
          <w:tcPr>
            <w:tcW w:w="2422" w:type="pct"/>
            <w:shd w:val="clear" w:color="auto" w:fill="FFFFFF"/>
          </w:tcPr>
          <w:p w14:paraId="391BDA70" w14:textId="63E67538" w:rsidR="00252662" w:rsidRPr="00CA7AF7" w:rsidRDefault="00516486" w:rsidP="0086180A">
            <w:pPr>
              <w:spacing w:before="120" w:after="120"/>
              <w:ind w:left="141" w:right="146"/>
              <w:jc w:val="both"/>
              <w:rPr>
                <w:rFonts w:ascii="Times New Roman" w:hAnsi="Times New Roman" w:cs="Times New Roman"/>
                <w:color w:val="auto"/>
                <w:spacing w:val="-4"/>
                <w:sz w:val="28"/>
                <w:szCs w:val="28"/>
                <w:lang w:val="en-US"/>
              </w:rPr>
            </w:pPr>
            <w:r w:rsidRPr="00CA7AF7">
              <w:rPr>
                <w:rFonts w:ascii="Times New Roman" w:hAnsi="Times New Roman" w:cs="Times New Roman"/>
                <w:b/>
                <w:color w:val="auto"/>
                <w:spacing w:val="-4"/>
                <w:sz w:val="28"/>
                <w:szCs w:val="28"/>
                <w:lang w:val="en-US"/>
              </w:rPr>
              <w:lastRenderedPageBreak/>
              <w:t>1. Về thẩm quyền quyết định:</w:t>
            </w:r>
            <w:r w:rsidRPr="00CA7AF7">
              <w:rPr>
                <w:rFonts w:ascii="Times New Roman" w:hAnsi="Times New Roman" w:cs="Times New Roman"/>
                <w:color w:val="auto"/>
                <w:spacing w:val="-4"/>
                <w:sz w:val="28"/>
                <w:szCs w:val="28"/>
                <w:lang w:val="en-US"/>
              </w:rPr>
              <w:t xml:space="preserve"> được</w:t>
            </w:r>
            <w:r w:rsidR="00CA7AF7" w:rsidRPr="00CA7AF7">
              <w:rPr>
                <w:rFonts w:ascii="Times New Roman" w:hAnsi="Times New Roman" w:cs="Times New Roman"/>
                <w:color w:val="auto"/>
                <w:spacing w:val="-4"/>
                <w:sz w:val="28"/>
                <w:szCs w:val="28"/>
                <w:lang w:val="en-US"/>
              </w:rPr>
              <w:t xml:space="preserve"> </w:t>
            </w:r>
            <w:r w:rsidR="00CA7AF7" w:rsidRPr="00CA7AF7">
              <w:rPr>
                <w:rFonts w:ascii="Times New Roman" w:hAnsi="Times New Roman" w:cs="Times New Roman"/>
                <w:color w:val="auto"/>
                <w:spacing w:val="-4"/>
                <w:sz w:val="28"/>
                <w:szCs w:val="28"/>
                <w:lang w:val="en-US"/>
              </w:rPr>
              <w:t>xác định căn cứ</w:t>
            </w:r>
            <w:r w:rsidRPr="00CA7AF7">
              <w:rPr>
                <w:rFonts w:ascii="Times New Roman" w:hAnsi="Times New Roman" w:cs="Times New Roman"/>
                <w:color w:val="auto"/>
                <w:spacing w:val="-4"/>
                <w:sz w:val="28"/>
                <w:szCs w:val="28"/>
                <w:lang w:val="en-US"/>
              </w:rPr>
              <w:t xml:space="preserve"> </w:t>
            </w:r>
            <w:r w:rsidR="00CA7AF7" w:rsidRPr="00CA7AF7">
              <w:rPr>
                <w:rFonts w:ascii="Times New Roman" w:hAnsi="Times New Roman" w:cs="Times New Roman"/>
                <w:color w:val="auto"/>
                <w:spacing w:val="-4"/>
                <w:sz w:val="28"/>
                <w:szCs w:val="28"/>
                <w:lang w:val="en-US"/>
              </w:rPr>
              <w:t xml:space="preserve">theo </w:t>
            </w:r>
            <w:r w:rsidRPr="00CA7AF7">
              <w:rPr>
                <w:rFonts w:ascii="Times New Roman" w:hAnsi="Times New Roman" w:cs="Times New Roman"/>
                <w:color w:val="auto"/>
                <w:spacing w:val="-4"/>
                <w:sz w:val="28"/>
                <w:szCs w:val="28"/>
                <w:lang w:val="en-US"/>
              </w:rPr>
              <w:t xml:space="preserve">quy định tại </w:t>
            </w:r>
            <w:r w:rsidRPr="00CA7AF7">
              <w:rPr>
                <w:rFonts w:ascii="Times New Roman" w:hAnsi="Times New Roman" w:cs="Times New Roman"/>
                <w:color w:val="auto"/>
                <w:spacing w:val="-4"/>
                <w:sz w:val="28"/>
                <w:szCs w:val="28"/>
              </w:rPr>
              <w:t>điểm c khoản 1, điểm b khoản 2 Điều 91 Nghị định số 24/2024/NĐ-CP</w:t>
            </w:r>
            <w:r w:rsidRPr="00CA7AF7">
              <w:rPr>
                <w:rFonts w:ascii="Times New Roman" w:hAnsi="Times New Roman" w:cs="Times New Roman"/>
                <w:color w:val="auto"/>
                <w:spacing w:val="-4"/>
                <w:sz w:val="28"/>
                <w:szCs w:val="28"/>
                <w:lang w:val="en-US"/>
              </w:rPr>
              <w:t>.</w:t>
            </w:r>
          </w:p>
          <w:p w14:paraId="79570ED4" w14:textId="78CB517F" w:rsidR="00CA334C" w:rsidRPr="0086180A" w:rsidRDefault="00516486" w:rsidP="0086180A">
            <w:pPr>
              <w:pStyle w:val="NormalWeb"/>
              <w:shd w:val="clear" w:color="auto" w:fill="FFFFFF"/>
              <w:spacing w:before="120" w:beforeAutospacing="0" w:after="120" w:afterAutospacing="0"/>
              <w:ind w:left="141" w:right="146"/>
              <w:jc w:val="both"/>
              <w:textAlignment w:val="baseline"/>
              <w:rPr>
                <w:sz w:val="28"/>
                <w:szCs w:val="28"/>
              </w:rPr>
            </w:pPr>
            <w:r w:rsidRPr="0086180A">
              <w:rPr>
                <w:b/>
                <w:sz w:val="28"/>
                <w:szCs w:val="28"/>
              </w:rPr>
              <w:t>2. Về định mức phân cấp</w:t>
            </w:r>
            <w:r w:rsidR="00901669">
              <w:rPr>
                <w:b/>
                <w:sz w:val="28"/>
                <w:szCs w:val="28"/>
              </w:rPr>
              <w:t xml:space="preserve"> thẩm quyền</w:t>
            </w:r>
            <w:r w:rsidRPr="0086180A">
              <w:rPr>
                <w:b/>
                <w:sz w:val="28"/>
                <w:szCs w:val="28"/>
              </w:rPr>
              <w:t xml:space="preserve"> </w:t>
            </w:r>
            <w:r w:rsidR="00901669">
              <w:rPr>
                <w:b/>
                <w:sz w:val="28"/>
                <w:szCs w:val="28"/>
              </w:rPr>
              <w:t xml:space="preserve">quyết định </w:t>
            </w:r>
            <w:r w:rsidRPr="0086180A">
              <w:rPr>
                <w:b/>
                <w:sz w:val="28"/>
                <w:szCs w:val="28"/>
              </w:rPr>
              <w:t>đề xuất:</w:t>
            </w:r>
            <w:r w:rsidRPr="0086180A">
              <w:rPr>
                <w:sz w:val="28"/>
                <w:szCs w:val="28"/>
              </w:rPr>
              <w:t xml:space="preserve"> </w:t>
            </w:r>
            <w:r w:rsidR="009A1525">
              <w:rPr>
                <w:sz w:val="28"/>
                <w:szCs w:val="28"/>
                <w:lang w:val="nl-NL"/>
              </w:rPr>
              <w:t>c</w:t>
            </w:r>
            <w:r w:rsidR="00CA334C" w:rsidRPr="0086180A">
              <w:rPr>
                <w:sz w:val="28"/>
                <w:szCs w:val="28"/>
                <w:lang w:val="nl-NL"/>
              </w:rPr>
              <w:t xml:space="preserve">ơ sở đề xuất mức </w:t>
            </w:r>
            <w:r w:rsidR="0086180A">
              <w:rPr>
                <w:sz w:val="28"/>
                <w:szCs w:val="28"/>
                <w:lang w:val="nl-NL"/>
              </w:rPr>
              <w:t xml:space="preserve">phân cấp </w:t>
            </w:r>
            <w:r w:rsidR="00CA334C" w:rsidRPr="0086180A">
              <w:rPr>
                <w:sz w:val="28"/>
                <w:szCs w:val="28"/>
                <w:lang w:val="nl-NL"/>
              </w:rPr>
              <w:t>tại dự thảo Nghị quyết</w:t>
            </w:r>
            <w:r w:rsidR="00CA334C" w:rsidRPr="0086180A">
              <w:rPr>
                <w:sz w:val="28"/>
                <w:szCs w:val="28"/>
                <w:lang w:val="vi-VN"/>
              </w:rPr>
              <w:t xml:space="preserve"> dựa trên</w:t>
            </w:r>
            <w:r w:rsidR="00CA334C" w:rsidRPr="0086180A">
              <w:rPr>
                <w:sz w:val="28"/>
                <w:szCs w:val="28"/>
              </w:rPr>
              <w:t>:</w:t>
            </w:r>
          </w:p>
          <w:p w14:paraId="48CDDA75" w14:textId="2FCCE02A" w:rsidR="00CA334C" w:rsidRPr="0086180A" w:rsidRDefault="0086180A" w:rsidP="0086180A">
            <w:pPr>
              <w:pStyle w:val="NormalWeb"/>
              <w:shd w:val="clear" w:color="auto" w:fill="FFFFFF"/>
              <w:spacing w:before="120" w:beforeAutospacing="0" w:after="120" w:afterAutospacing="0"/>
              <w:ind w:left="141" w:right="146"/>
              <w:jc w:val="both"/>
              <w:textAlignment w:val="baseline"/>
              <w:rPr>
                <w:rFonts w:eastAsia="Times New Roman"/>
                <w:sz w:val="28"/>
                <w:szCs w:val="28"/>
                <w:lang w:val="it-IT"/>
              </w:rPr>
            </w:pPr>
            <w:r>
              <w:rPr>
                <w:rFonts w:eastAsia="Times New Roman"/>
                <w:sz w:val="28"/>
                <w:szCs w:val="28"/>
                <w:lang w:val="it-IT"/>
              </w:rPr>
              <w:t>a)</w:t>
            </w:r>
            <w:r w:rsidR="00CA334C" w:rsidRPr="0086180A">
              <w:rPr>
                <w:rFonts w:eastAsia="Times New Roman"/>
                <w:sz w:val="28"/>
                <w:szCs w:val="28"/>
                <w:lang w:val="it-IT"/>
              </w:rPr>
              <w:t xml:space="preserve"> Tham khảo theo quy định tại Điều 24 Luật Đấu thầu số 22/2023/QH15: “Gói thầu chào hàng cạnh tranh </w:t>
            </w:r>
            <w:r w:rsidR="00CA334C" w:rsidRPr="0086180A">
              <w:rPr>
                <w:rFonts w:eastAsia="Times New Roman"/>
                <w:i/>
                <w:sz w:val="28"/>
                <w:szCs w:val="28"/>
                <w:lang w:val="it-IT"/>
              </w:rPr>
              <w:t>không quá 05 tỷ đồng</w:t>
            </w:r>
            <w:r w:rsidR="00CA334C" w:rsidRPr="0086180A">
              <w:rPr>
                <w:rFonts w:eastAsia="Times New Roman"/>
                <w:sz w:val="28"/>
                <w:szCs w:val="28"/>
                <w:lang w:val="it-IT"/>
              </w:rPr>
              <w:t xml:space="preserve"> là những gói thầu thông dụng, đơn giản”; theo điểm c khoản 2 Điều 91 Nghị định số 24/2024/NĐ-</w:t>
            </w:r>
            <w:r w:rsidR="00CA334C" w:rsidRPr="0086180A">
              <w:rPr>
                <w:rFonts w:eastAsia="Times New Roman"/>
                <w:sz w:val="28"/>
                <w:szCs w:val="28"/>
                <w:lang w:val="it-IT"/>
              </w:rPr>
              <w:lastRenderedPageBreak/>
              <w:t xml:space="preserve">CP quy định thủ trưởng đơn vị dự toán các cấp quyết định mua sắm </w:t>
            </w:r>
            <w:r w:rsidR="00CA334C" w:rsidRPr="0086180A">
              <w:rPr>
                <w:rFonts w:eastAsia="Times New Roman"/>
                <w:i/>
                <w:sz w:val="28"/>
                <w:szCs w:val="28"/>
                <w:lang w:val="it-IT"/>
              </w:rPr>
              <w:t>không quá 200 triệu đồng</w:t>
            </w:r>
            <w:r w:rsidR="00CA334C" w:rsidRPr="0086180A">
              <w:rPr>
                <w:rFonts w:eastAsia="Times New Roman"/>
                <w:sz w:val="28"/>
                <w:szCs w:val="28"/>
                <w:lang w:val="it-IT"/>
              </w:rPr>
              <w:t>.</w:t>
            </w:r>
          </w:p>
          <w:p w14:paraId="1C428369" w14:textId="4A65A651" w:rsidR="00CA334C" w:rsidRPr="0086180A" w:rsidRDefault="0086180A" w:rsidP="0086180A">
            <w:pPr>
              <w:pStyle w:val="NormalWeb"/>
              <w:shd w:val="clear" w:color="auto" w:fill="FFFFFF"/>
              <w:spacing w:before="120" w:beforeAutospacing="0" w:after="120" w:afterAutospacing="0"/>
              <w:ind w:left="141" w:right="146"/>
              <w:jc w:val="both"/>
              <w:textAlignment w:val="baseline"/>
              <w:rPr>
                <w:rFonts w:eastAsia="Times New Roman"/>
                <w:sz w:val="28"/>
                <w:szCs w:val="28"/>
                <w:lang w:val="it-IT"/>
              </w:rPr>
            </w:pPr>
            <w:r>
              <w:rPr>
                <w:rFonts w:eastAsia="Times New Roman"/>
                <w:sz w:val="28"/>
                <w:szCs w:val="28"/>
                <w:lang w:val="it-IT"/>
              </w:rPr>
              <w:t xml:space="preserve">b) </w:t>
            </w:r>
            <w:r w:rsidR="00CA334C" w:rsidRPr="0086180A">
              <w:rPr>
                <w:rFonts w:eastAsia="Times New Roman"/>
                <w:sz w:val="28"/>
                <w:szCs w:val="28"/>
                <w:lang w:val="it-IT"/>
              </w:rPr>
              <w:t>Tham khảo theo quy định tại Điều 2 Nghị quyết số 24/2024/NQ-HNND ngày 27 tháng 12 năm 2024 của Hội đồng nhân dân tỉnh An Giang về quy định thẩm quyền quyết định mua sắm hàng hóa, dịch vụ thuộc phạm vi quản lý của tỉnh An Giang. Đồng thời, tham khảo định mức phân cấp ở một số tỉnh như Sơn La, Hoà Bình, Điện Biên...</w:t>
            </w:r>
          </w:p>
          <w:p w14:paraId="391E82AE" w14:textId="549DFF23" w:rsidR="00CA334C" w:rsidRPr="0086180A" w:rsidRDefault="00CA334C" w:rsidP="0086180A">
            <w:pPr>
              <w:pStyle w:val="NormalWeb"/>
              <w:shd w:val="clear" w:color="auto" w:fill="FFFFFF"/>
              <w:spacing w:before="120" w:beforeAutospacing="0" w:after="120" w:afterAutospacing="0"/>
              <w:ind w:left="141" w:right="146"/>
              <w:jc w:val="both"/>
              <w:textAlignment w:val="baseline"/>
              <w:rPr>
                <w:rFonts w:eastAsia="Times New Roman"/>
                <w:sz w:val="28"/>
                <w:szCs w:val="28"/>
                <w:lang w:val="it-IT"/>
              </w:rPr>
            </w:pPr>
            <w:r w:rsidRPr="0086180A">
              <w:rPr>
                <w:spacing w:val="-2"/>
                <w:sz w:val="28"/>
                <w:szCs w:val="28"/>
              </w:rPr>
              <w:t xml:space="preserve">Do đó, Ủy ban nhân dân tỉnh đề xuất định mức phân cấp theo </w:t>
            </w:r>
            <w:r w:rsidR="0086180A">
              <w:rPr>
                <w:spacing w:val="-2"/>
                <w:sz w:val="28"/>
                <w:szCs w:val="28"/>
              </w:rPr>
              <w:t>Điều 2 dự thảo Nghị quyết</w:t>
            </w:r>
            <w:r w:rsidRPr="0086180A">
              <w:rPr>
                <w:spacing w:val="-2"/>
                <w:sz w:val="28"/>
                <w:szCs w:val="28"/>
              </w:rPr>
              <w:t xml:space="preserve"> nhằm </w:t>
            </w:r>
            <w:r w:rsidRPr="0086180A">
              <w:rPr>
                <w:sz w:val="28"/>
                <w:szCs w:val="28"/>
              </w:rPr>
              <w:t xml:space="preserve">tăng tính chủ động cho các cơ quan, đơn vị trong công tác </w:t>
            </w:r>
            <w:r w:rsidRPr="0086180A">
              <w:rPr>
                <w:sz w:val="28"/>
                <w:szCs w:val="28"/>
                <w:shd w:val="clear" w:color="auto" w:fill="FFFFFF"/>
              </w:rPr>
              <w:t>đầu tư, mua sắm các hoạt động thực hiện các nhiệm vụ khoa học và công nghệ, hoạt động ứng dụng công nghệ thông tin sử dụng nguồn kinh phí thuộc phạm vi quản lý tỉnh An Giang, phù hợp theo tinh thần Nghị quyết số 04/NQ-CP ngày 10 tháng 01 năm 2022 của Chính phủ về đẩy mạnh phân cấp, phân quyền trong quản lý nhà nước.</w:t>
            </w:r>
          </w:p>
          <w:p w14:paraId="26C43E94" w14:textId="7B816FC4" w:rsidR="00516486" w:rsidRPr="0086180A" w:rsidRDefault="00516486" w:rsidP="0086180A">
            <w:pPr>
              <w:spacing w:before="120" w:after="120"/>
              <w:ind w:left="141" w:right="146"/>
              <w:jc w:val="both"/>
              <w:rPr>
                <w:rFonts w:ascii="Times New Roman" w:hAnsi="Times New Roman" w:cs="Times New Roman"/>
                <w:color w:val="auto"/>
                <w:sz w:val="28"/>
                <w:szCs w:val="28"/>
                <w:lang w:val="en-US"/>
              </w:rPr>
            </w:pPr>
          </w:p>
        </w:tc>
      </w:tr>
      <w:tr w:rsidR="0086180A" w:rsidRPr="0086180A" w14:paraId="77831D49" w14:textId="77777777" w:rsidTr="0086180A">
        <w:tc>
          <w:tcPr>
            <w:tcW w:w="2578" w:type="pct"/>
            <w:shd w:val="clear" w:color="auto" w:fill="FFFFFF"/>
          </w:tcPr>
          <w:p w14:paraId="2A1D4C1B" w14:textId="7C97BF3E" w:rsidR="00252662" w:rsidRPr="0086180A" w:rsidRDefault="00252662" w:rsidP="0086180A">
            <w:pPr>
              <w:autoSpaceDE w:val="0"/>
              <w:autoSpaceDN w:val="0"/>
              <w:adjustRightInd w:val="0"/>
              <w:spacing w:before="120" w:after="120"/>
              <w:ind w:left="145" w:right="54"/>
              <w:jc w:val="both"/>
              <w:rPr>
                <w:rFonts w:ascii="Times New Roman" w:eastAsiaTheme="minorHAnsi" w:hAnsi="Times New Roman" w:cs="Times New Roman"/>
                <w:b/>
                <w:color w:val="auto"/>
                <w:sz w:val="28"/>
                <w:szCs w:val="28"/>
              </w:rPr>
            </w:pPr>
            <w:r w:rsidRPr="0086180A">
              <w:rPr>
                <w:rFonts w:ascii="Times New Roman" w:eastAsiaTheme="minorHAnsi" w:hAnsi="Times New Roman" w:cs="Times New Roman"/>
                <w:b/>
                <w:color w:val="auto"/>
                <w:sz w:val="28"/>
                <w:szCs w:val="28"/>
              </w:rPr>
              <w:lastRenderedPageBreak/>
              <w:t xml:space="preserve">Điều 3. Thẩm quyền quyết định việc đầu tư, mua sắm, thuê các hoạt động ứng dụng công nghệ thông tin sử dụng kinh phí chi thường xuyên nguồn vốn ngân sách nhà nước thuộc phạm vi quản lý tỉnh An Giang </w:t>
            </w:r>
          </w:p>
          <w:p w14:paraId="40FD6014" w14:textId="77777777" w:rsidR="00252662" w:rsidRPr="0086180A" w:rsidRDefault="00252662" w:rsidP="0086180A">
            <w:pPr>
              <w:autoSpaceDE w:val="0"/>
              <w:autoSpaceDN w:val="0"/>
              <w:adjustRightInd w:val="0"/>
              <w:spacing w:before="120" w:after="120"/>
              <w:ind w:left="145" w:right="54"/>
              <w:jc w:val="both"/>
              <w:rPr>
                <w:rFonts w:ascii="Times New Roman" w:eastAsiaTheme="minorHAnsi" w:hAnsi="Times New Roman" w:cs="Times New Roman"/>
                <w:color w:val="auto"/>
                <w:sz w:val="28"/>
                <w:szCs w:val="28"/>
              </w:rPr>
            </w:pPr>
            <w:r w:rsidRPr="0086180A">
              <w:rPr>
                <w:rFonts w:ascii="Times New Roman" w:eastAsiaTheme="minorHAnsi" w:hAnsi="Times New Roman" w:cs="Times New Roman"/>
                <w:color w:val="auto"/>
                <w:sz w:val="28"/>
                <w:szCs w:val="28"/>
              </w:rPr>
              <w:t>1. Thẩm quyền quyết định đầu tư, mua sắm các hoạt động ứng dụng công nghệ thông tin</w:t>
            </w:r>
          </w:p>
          <w:p w14:paraId="535BC8EA" w14:textId="77777777" w:rsidR="00252662" w:rsidRPr="0086180A" w:rsidRDefault="00252662" w:rsidP="0086180A">
            <w:pPr>
              <w:shd w:val="clear" w:color="auto" w:fill="FFFFFF"/>
              <w:spacing w:before="120" w:after="120"/>
              <w:ind w:left="145" w:right="54"/>
              <w:jc w:val="both"/>
              <w:rPr>
                <w:rFonts w:ascii="Times New Roman" w:hAnsi="Times New Roman" w:cs="Times New Roman"/>
                <w:color w:val="auto"/>
                <w:sz w:val="28"/>
                <w:szCs w:val="28"/>
              </w:rPr>
            </w:pPr>
            <w:r w:rsidRPr="0086180A">
              <w:rPr>
                <w:rFonts w:ascii="Times New Roman" w:eastAsiaTheme="minorHAnsi" w:hAnsi="Times New Roman" w:cs="Times New Roman"/>
                <w:color w:val="auto"/>
                <w:sz w:val="28"/>
                <w:szCs w:val="28"/>
              </w:rPr>
              <w:t xml:space="preserve">a) Chủ tịch Ủy ban nhân dân tỉnh quyết định đầu tư, mua sắm các hoạt động ứng dụng công nghệ thông tin </w:t>
            </w:r>
            <w:r w:rsidRPr="0086180A">
              <w:rPr>
                <w:rFonts w:ascii="Times New Roman" w:hAnsi="Times New Roman" w:cs="Times New Roman"/>
                <w:color w:val="auto"/>
                <w:sz w:val="28"/>
                <w:szCs w:val="28"/>
              </w:rPr>
              <w:t>đối với gói thầu, nội dung mua sắm có giá trị từ 05 tỷ đồng trở lên.</w:t>
            </w:r>
          </w:p>
          <w:p w14:paraId="03379732" w14:textId="77777777" w:rsidR="00252662" w:rsidRPr="0086180A" w:rsidRDefault="00252662" w:rsidP="0086180A">
            <w:pPr>
              <w:autoSpaceDE w:val="0"/>
              <w:autoSpaceDN w:val="0"/>
              <w:adjustRightInd w:val="0"/>
              <w:spacing w:before="120" w:after="120"/>
              <w:ind w:left="145" w:right="54"/>
              <w:jc w:val="both"/>
              <w:rPr>
                <w:rFonts w:ascii="Times New Roman" w:eastAsiaTheme="minorHAnsi" w:hAnsi="Times New Roman" w:cs="Times New Roman"/>
                <w:color w:val="auto"/>
                <w:sz w:val="28"/>
                <w:szCs w:val="28"/>
              </w:rPr>
            </w:pPr>
            <w:r w:rsidRPr="0086180A">
              <w:rPr>
                <w:rFonts w:ascii="Times New Roman" w:eastAsiaTheme="minorHAnsi" w:hAnsi="Times New Roman" w:cs="Times New Roman"/>
                <w:color w:val="auto"/>
                <w:sz w:val="28"/>
                <w:szCs w:val="28"/>
              </w:rPr>
              <w:t xml:space="preserve">b) Thủ trưởng các sở, ban, ngành tỉnh và tương đương quyết định việc đầu tư, mua sắm các hoạt động ứng dụng công nghệ thông tin </w:t>
            </w:r>
            <w:r w:rsidRPr="0086180A">
              <w:rPr>
                <w:rFonts w:ascii="Times New Roman" w:hAnsi="Times New Roman" w:cs="Times New Roman"/>
                <w:color w:val="auto"/>
                <w:sz w:val="28"/>
                <w:szCs w:val="28"/>
              </w:rPr>
              <w:t>đối với gói thầu, nội dung mua sắm có giá trị từ 200 triệu đồng đến dưới 5 tỷ đồng</w:t>
            </w:r>
            <w:r w:rsidRPr="0086180A">
              <w:rPr>
                <w:rFonts w:ascii="Times New Roman" w:eastAsiaTheme="minorHAnsi" w:hAnsi="Times New Roman" w:cs="Times New Roman"/>
                <w:color w:val="auto"/>
                <w:sz w:val="28"/>
                <w:szCs w:val="28"/>
              </w:rPr>
              <w:t xml:space="preserve"> tại đơn vị mình và trên 200 triệu đồng đến dưới 05 tỷ đồng đối với gói thầu, nội dung mua sắm của các cơ quan, tổ chức, đơn vị trực thuộc quản lý trong phạm vi dự toán đã được cơ quan thẩm quyền giao.</w:t>
            </w:r>
          </w:p>
          <w:p w14:paraId="06B01902" w14:textId="77777777" w:rsidR="00252662" w:rsidRPr="0086180A" w:rsidRDefault="00252662" w:rsidP="0086180A">
            <w:pPr>
              <w:autoSpaceDE w:val="0"/>
              <w:autoSpaceDN w:val="0"/>
              <w:adjustRightInd w:val="0"/>
              <w:spacing w:before="120" w:after="120"/>
              <w:ind w:left="145" w:right="54"/>
              <w:jc w:val="both"/>
              <w:rPr>
                <w:rFonts w:ascii="Times New Roman" w:eastAsiaTheme="minorHAnsi" w:hAnsi="Times New Roman" w:cs="Times New Roman"/>
                <w:color w:val="auto"/>
                <w:spacing w:val="-2"/>
                <w:sz w:val="28"/>
                <w:szCs w:val="28"/>
              </w:rPr>
            </w:pPr>
            <w:r w:rsidRPr="0086180A">
              <w:rPr>
                <w:rFonts w:ascii="Times New Roman" w:eastAsiaTheme="minorHAnsi" w:hAnsi="Times New Roman" w:cs="Times New Roman"/>
                <w:color w:val="auto"/>
                <w:spacing w:val="-2"/>
                <w:sz w:val="28"/>
                <w:szCs w:val="28"/>
              </w:rPr>
              <w:t>c) Thủ trưởng các cơ quan, tổ chức, đơn vị trực thuộc các sở, ban, ngành tỉnh và tương đương; Chủ tịch Uỷ ban nhân dân cấp xã quyết định việc đầu tư, mua sắm các hoạt động ứng dụng công nghệ thông tin đối với gói thầu, nội dung mua sắm có giá dưới 200 triệu đồng.</w:t>
            </w:r>
          </w:p>
          <w:p w14:paraId="3D2FAB94" w14:textId="1BA9DA4F" w:rsidR="001A6CB6" w:rsidRPr="0086180A" w:rsidRDefault="00252662" w:rsidP="004F075D">
            <w:pPr>
              <w:autoSpaceDE w:val="0"/>
              <w:autoSpaceDN w:val="0"/>
              <w:adjustRightInd w:val="0"/>
              <w:spacing w:before="120" w:after="120"/>
              <w:ind w:left="145" w:right="54"/>
              <w:jc w:val="both"/>
              <w:rPr>
                <w:rFonts w:ascii="Times New Roman" w:eastAsiaTheme="minorHAnsi" w:hAnsi="Times New Roman" w:cs="Times New Roman"/>
                <w:color w:val="auto"/>
                <w:sz w:val="28"/>
                <w:szCs w:val="28"/>
                <w:lang w:val="en-US"/>
              </w:rPr>
            </w:pPr>
            <w:r w:rsidRPr="0086180A">
              <w:rPr>
                <w:rFonts w:ascii="Times New Roman" w:eastAsiaTheme="minorHAnsi" w:hAnsi="Times New Roman" w:cs="Times New Roman"/>
                <w:color w:val="auto"/>
                <w:sz w:val="28"/>
                <w:szCs w:val="28"/>
              </w:rPr>
              <w:t xml:space="preserve">2. Người có thẩm quyền quyết định đầu </w:t>
            </w:r>
            <w:r w:rsidRPr="0086180A">
              <w:rPr>
                <w:rFonts w:ascii="Times New Roman" w:eastAsiaTheme="minorHAnsi" w:hAnsi="Times New Roman" w:cs="Times New Roman"/>
                <w:color w:val="auto"/>
                <w:sz w:val="28"/>
                <w:szCs w:val="28"/>
              </w:rPr>
              <w:lastRenderedPageBreak/>
              <w:t>tư, mua sắm các hoạt động ứng dụng công nghệ thông tin quy định tại khoản 1 Điều này là người có thẩm quyền quyết định phê duyệt kế hoạch thuê dịch vụ công nghệ thông tin không sẵn có trên thị trường (dịch vụ theo yêu cầu riêng) trong lĩnh vực công nghệ thông tin.</w:t>
            </w:r>
          </w:p>
        </w:tc>
        <w:tc>
          <w:tcPr>
            <w:tcW w:w="2422" w:type="pct"/>
            <w:shd w:val="clear" w:color="auto" w:fill="FFFFFF"/>
          </w:tcPr>
          <w:p w14:paraId="55CBF1DA" w14:textId="4C4E488E" w:rsidR="00BB5EFF" w:rsidRPr="00BB5EFF" w:rsidRDefault="00CA334C" w:rsidP="0086180A">
            <w:pPr>
              <w:spacing w:before="120" w:after="120"/>
              <w:ind w:left="141" w:right="146"/>
              <w:jc w:val="both"/>
              <w:rPr>
                <w:rFonts w:ascii="Times New Roman" w:hAnsi="Times New Roman" w:cs="Times New Roman"/>
                <w:iCs/>
                <w:color w:val="auto"/>
                <w:sz w:val="28"/>
                <w:szCs w:val="28"/>
                <w:lang w:val="en-US"/>
              </w:rPr>
            </w:pPr>
            <w:r w:rsidRPr="00BB5EFF">
              <w:rPr>
                <w:rFonts w:ascii="Times New Roman" w:hAnsi="Times New Roman" w:cs="Times New Roman"/>
                <w:b/>
                <w:color w:val="auto"/>
                <w:sz w:val="28"/>
                <w:szCs w:val="28"/>
                <w:lang w:val="en-US"/>
              </w:rPr>
              <w:lastRenderedPageBreak/>
              <w:t>1. Về thẩm quyền quyết định:</w:t>
            </w:r>
            <w:r w:rsidRPr="00BB5EFF">
              <w:rPr>
                <w:rFonts w:ascii="Times New Roman" w:hAnsi="Times New Roman" w:cs="Times New Roman"/>
                <w:color w:val="auto"/>
                <w:sz w:val="28"/>
                <w:szCs w:val="28"/>
                <w:lang w:val="en-US"/>
              </w:rPr>
              <w:t xml:space="preserve"> được </w:t>
            </w:r>
            <w:r w:rsidR="00CD2A9D" w:rsidRPr="00BB5EFF">
              <w:rPr>
                <w:rFonts w:ascii="Times New Roman" w:hAnsi="Times New Roman" w:cs="Times New Roman"/>
                <w:color w:val="auto"/>
                <w:sz w:val="28"/>
                <w:szCs w:val="28"/>
                <w:lang w:val="en-US"/>
              </w:rPr>
              <w:t xml:space="preserve">xác định căn cứ theo </w:t>
            </w:r>
            <w:r w:rsidRPr="00BB5EFF">
              <w:rPr>
                <w:rFonts w:ascii="Times New Roman" w:hAnsi="Times New Roman" w:cs="Times New Roman"/>
                <w:color w:val="auto"/>
                <w:sz w:val="28"/>
                <w:szCs w:val="28"/>
                <w:lang w:val="en-US"/>
              </w:rPr>
              <w:t>quy định</w:t>
            </w:r>
            <w:r w:rsidR="00BB5EFF">
              <w:rPr>
                <w:rFonts w:ascii="Times New Roman" w:hAnsi="Times New Roman" w:cs="Times New Roman"/>
                <w:color w:val="auto"/>
                <w:sz w:val="28"/>
                <w:szCs w:val="28"/>
                <w:lang w:val="en-US"/>
              </w:rPr>
              <w:t xml:space="preserve"> </w:t>
            </w:r>
            <w:r w:rsidR="00BB5EFF" w:rsidRPr="00BB5EFF">
              <w:rPr>
                <w:rFonts w:ascii="Times New Roman" w:hAnsi="Times New Roman" w:cs="Times New Roman"/>
                <w:color w:val="auto"/>
                <w:sz w:val="28"/>
                <w:szCs w:val="28"/>
                <w:lang w:val="en-US"/>
              </w:rPr>
              <w:t xml:space="preserve">tại </w:t>
            </w:r>
            <w:r w:rsidR="00BB5EFF" w:rsidRPr="00BB5EFF">
              <w:rPr>
                <w:rFonts w:ascii="Times New Roman" w:hAnsi="Times New Roman" w:cs="Times New Roman"/>
                <w:color w:val="auto"/>
                <w:sz w:val="28"/>
                <w:szCs w:val="28"/>
                <w:lang w:val="en-US"/>
              </w:rPr>
              <w:t xml:space="preserve">Điều 51 Nghị định số 73/2019/NĐ-CP </w:t>
            </w:r>
            <w:r w:rsidR="00BB5EFF" w:rsidRPr="00BB5EFF">
              <w:rPr>
                <w:rFonts w:ascii="Times New Roman" w:hAnsi="Times New Roman" w:cs="Times New Roman"/>
                <w:iCs/>
                <w:color w:val="auto"/>
                <w:sz w:val="28"/>
                <w:szCs w:val="28"/>
              </w:rPr>
              <w:t>ngày 05 tháng 9 năm 2019 của Chính phủ quy định quản lý đầu tư ứng dụng công nghệ thông tin sử dụng nguồn vốn ngân sách nhà nước</w:t>
            </w:r>
            <w:r w:rsidR="00BB5EFF" w:rsidRPr="00BB5EFF">
              <w:rPr>
                <w:rFonts w:ascii="Times New Roman" w:hAnsi="Times New Roman" w:cs="Times New Roman"/>
                <w:color w:val="auto"/>
                <w:sz w:val="28"/>
                <w:szCs w:val="28"/>
                <w:lang w:val="en-US"/>
              </w:rPr>
              <w:t xml:space="preserve"> được sửa đổi, bổ sung tại khoản 28 Điều 1 Nghị định số 82/2024/NĐ-CP.</w:t>
            </w:r>
          </w:p>
          <w:p w14:paraId="2313AD3C" w14:textId="5DD5AC27" w:rsidR="00CA334C" w:rsidRPr="0086180A" w:rsidRDefault="00CA334C" w:rsidP="0086180A">
            <w:pPr>
              <w:pStyle w:val="NormalWeb"/>
              <w:shd w:val="clear" w:color="auto" w:fill="FFFFFF"/>
              <w:spacing w:before="120" w:beforeAutospacing="0" w:after="120" w:afterAutospacing="0"/>
              <w:ind w:left="141" w:right="146"/>
              <w:jc w:val="both"/>
              <w:textAlignment w:val="baseline"/>
              <w:rPr>
                <w:sz w:val="28"/>
                <w:szCs w:val="28"/>
              </w:rPr>
            </w:pPr>
            <w:r w:rsidRPr="0086180A">
              <w:rPr>
                <w:b/>
                <w:sz w:val="28"/>
                <w:szCs w:val="28"/>
              </w:rPr>
              <w:t xml:space="preserve">2. Về định mức phân cấp </w:t>
            </w:r>
            <w:r w:rsidR="00901669">
              <w:rPr>
                <w:b/>
                <w:sz w:val="28"/>
                <w:szCs w:val="28"/>
              </w:rPr>
              <w:t xml:space="preserve">thẩm quyền </w:t>
            </w:r>
            <w:r w:rsidRPr="0086180A">
              <w:rPr>
                <w:b/>
                <w:sz w:val="28"/>
                <w:szCs w:val="28"/>
              </w:rPr>
              <w:t>đề xuất:</w:t>
            </w:r>
            <w:r w:rsidRPr="0086180A">
              <w:rPr>
                <w:sz w:val="28"/>
                <w:szCs w:val="28"/>
              </w:rPr>
              <w:t xml:space="preserve"> </w:t>
            </w:r>
            <w:r w:rsidRPr="0086180A">
              <w:rPr>
                <w:sz w:val="28"/>
                <w:szCs w:val="28"/>
                <w:lang w:val="nl-NL"/>
              </w:rPr>
              <w:t xml:space="preserve">Cơ sở đề xuất mức </w:t>
            </w:r>
            <w:r w:rsidR="0086180A">
              <w:rPr>
                <w:sz w:val="28"/>
                <w:szCs w:val="28"/>
                <w:lang w:val="nl-NL"/>
              </w:rPr>
              <w:t xml:space="preserve">phân cấp </w:t>
            </w:r>
            <w:r w:rsidRPr="0086180A">
              <w:rPr>
                <w:sz w:val="28"/>
                <w:szCs w:val="28"/>
                <w:lang w:val="nl-NL"/>
              </w:rPr>
              <w:t>tại dự thảo Nghị quyết</w:t>
            </w:r>
            <w:r w:rsidRPr="0086180A">
              <w:rPr>
                <w:sz w:val="28"/>
                <w:szCs w:val="28"/>
                <w:lang w:val="vi-VN"/>
              </w:rPr>
              <w:t xml:space="preserve"> dựa trên</w:t>
            </w:r>
            <w:r w:rsidRPr="0086180A">
              <w:rPr>
                <w:sz w:val="28"/>
                <w:szCs w:val="28"/>
              </w:rPr>
              <w:t>:</w:t>
            </w:r>
          </w:p>
          <w:p w14:paraId="44E993B7" w14:textId="486A2F45" w:rsidR="00CA334C" w:rsidRPr="0086180A" w:rsidRDefault="0086180A" w:rsidP="0086180A">
            <w:pPr>
              <w:pStyle w:val="NormalWeb"/>
              <w:shd w:val="clear" w:color="auto" w:fill="FFFFFF"/>
              <w:spacing w:before="120" w:beforeAutospacing="0" w:after="120" w:afterAutospacing="0"/>
              <w:ind w:left="141" w:right="146"/>
              <w:jc w:val="both"/>
              <w:textAlignment w:val="baseline"/>
              <w:rPr>
                <w:rFonts w:eastAsia="Times New Roman"/>
                <w:sz w:val="28"/>
                <w:szCs w:val="28"/>
                <w:lang w:val="it-IT"/>
              </w:rPr>
            </w:pPr>
            <w:r>
              <w:rPr>
                <w:rFonts w:eastAsia="Times New Roman"/>
                <w:sz w:val="28"/>
                <w:szCs w:val="28"/>
                <w:lang w:val="it-IT"/>
              </w:rPr>
              <w:t xml:space="preserve">a) </w:t>
            </w:r>
            <w:r w:rsidR="00CA334C" w:rsidRPr="0086180A">
              <w:rPr>
                <w:rFonts w:eastAsia="Times New Roman"/>
                <w:sz w:val="28"/>
                <w:szCs w:val="28"/>
                <w:lang w:val="it-IT"/>
              </w:rPr>
              <w:t xml:space="preserve">Tham khảo theo quy định tại Điều 24 Luật Đấu thầu số 22/2023/QH15: “Gói thầu chào hàng cạnh tranh </w:t>
            </w:r>
            <w:r w:rsidR="00CA334C" w:rsidRPr="0086180A">
              <w:rPr>
                <w:rFonts w:eastAsia="Times New Roman"/>
                <w:i/>
                <w:sz w:val="28"/>
                <w:szCs w:val="28"/>
                <w:lang w:val="it-IT"/>
              </w:rPr>
              <w:t>không quá 05 tỷ đồng</w:t>
            </w:r>
            <w:r w:rsidR="00CA334C" w:rsidRPr="0086180A">
              <w:rPr>
                <w:rFonts w:eastAsia="Times New Roman"/>
                <w:sz w:val="28"/>
                <w:szCs w:val="28"/>
                <w:lang w:val="it-IT"/>
              </w:rPr>
              <w:t xml:space="preserve"> là những gói thầu thông dụng, đơn giản”; theo điểm c khoản 2 Điều 91 Nghị định số 24/2024/NĐ-CP quy định thủ trưởng đơn vị dự toán các cấp quyết định mua sắm </w:t>
            </w:r>
            <w:r w:rsidR="00CA334C" w:rsidRPr="0086180A">
              <w:rPr>
                <w:rFonts w:eastAsia="Times New Roman"/>
                <w:i/>
                <w:sz w:val="28"/>
                <w:szCs w:val="28"/>
                <w:lang w:val="it-IT"/>
              </w:rPr>
              <w:t>không quá 200 triệu đồng</w:t>
            </w:r>
            <w:r w:rsidR="00CA334C" w:rsidRPr="0086180A">
              <w:rPr>
                <w:rFonts w:eastAsia="Times New Roman"/>
                <w:sz w:val="28"/>
                <w:szCs w:val="28"/>
                <w:lang w:val="it-IT"/>
              </w:rPr>
              <w:t>.</w:t>
            </w:r>
          </w:p>
          <w:p w14:paraId="4FD4A0CE" w14:textId="483C75ED" w:rsidR="00CA334C" w:rsidRPr="0086180A" w:rsidRDefault="0086180A" w:rsidP="0086180A">
            <w:pPr>
              <w:pStyle w:val="NormalWeb"/>
              <w:shd w:val="clear" w:color="auto" w:fill="FFFFFF"/>
              <w:spacing w:before="120" w:beforeAutospacing="0" w:after="120" w:afterAutospacing="0"/>
              <w:ind w:left="141" w:right="146"/>
              <w:jc w:val="both"/>
              <w:textAlignment w:val="baseline"/>
              <w:rPr>
                <w:rFonts w:eastAsia="Times New Roman"/>
                <w:sz w:val="28"/>
                <w:szCs w:val="28"/>
                <w:lang w:val="it-IT"/>
              </w:rPr>
            </w:pPr>
            <w:r>
              <w:rPr>
                <w:rFonts w:eastAsia="Times New Roman"/>
                <w:sz w:val="28"/>
                <w:szCs w:val="28"/>
                <w:lang w:val="it-IT"/>
              </w:rPr>
              <w:t xml:space="preserve">b) </w:t>
            </w:r>
            <w:r w:rsidR="00CA334C" w:rsidRPr="0086180A">
              <w:rPr>
                <w:rFonts w:eastAsia="Times New Roman"/>
                <w:sz w:val="28"/>
                <w:szCs w:val="28"/>
                <w:lang w:val="it-IT"/>
              </w:rPr>
              <w:t xml:space="preserve">Tham khảo theo quy định tại Điều 2 Nghị quyết số 24/2024/NQ-HNND ngày 27 tháng 12 năm 2024 của Hội đồng nhân dân tỉnh An Giang về quy định thẩm quyền quyết định mua sắm hàng hóa, dịch vụ thuộc phạm vi quản lý của tỉnh An Giang. Đồng thời, tham khảo định mức phân cấp ở một số tỉnh </w:t>
            </w:r>
            <w:r w:rsidR="00CA334C" w:rsidRPr="0086180A">
              <w:rPr>
                <w:rFonts w:eastAsia="Times New Roman"/>
                <w:sz w:val="28"/>
                <w:szCs w:val="28"/>
                <w:lang w:val="it-IT"/>
              </w:rPr>
              <w:lastRenderedPageBreak/>
              <w:t>như Sơn La, Hoà Bình, Điện Biên...</w:t>
            </w:r>
          </w:p>
          <w:p w14:paraId="68D61226" w14:textId="64F308A9" w:rsidR="00CA334C" w:rsidRPr="0086180A" w:rsidRDefault="00CA334C" w:rsidP="0086180A">
            <w:pPr>
              <w:pStyle w:val="NormalWeb"/>
              <w:shd w:val="clear" w:color="auto" w:fill="FFFFFF"/>
              <w:spacing w:before="120" w:beforeAutospacing="0" w:after="120" w:afterAutospacing="0"/>
              <w:ind w:left="141" w:right="146"/>
              <w:jc w:val="both"/>
              <w:textAlignment w:val="baseline"/>
              <w:rPr>
                <w:rFonts w:eastAsia="Times New Roman"/>
                <w:sz w:val="28"/>
                <w:szCs w:val="28"/>
                <w:lang w:val="it-IT"/>
              </w:rPr>
            </w:pPr>
            <w:r w:rsidRPr="0086180A">
              <w:rPr>
                <w:spacing w:val="-2"/>
                <w:sz w:val="28"/>
                <w:szCs w:val="28"/>
              </w:rPr>
              <w:t xml:space="preserve">Do đó, Ủy ban nhân dân tỉnh đề xuất định mức phân cấp theo </w:t>
            </w:r>
            <w:r w:rsidR="0086180A">
              <w:rPr>
                <w:spacing w:val="-2"/>
                <w:sz w:val="28"/>
                <w:szCs w:val="28"/>
              </w:rPr>
              <w:t>Điều 3 dự thảo Nghị quyết</w:t>
            </w:r>
            <w:r w:rsidRPr="0086180A">
              <w:rPr>
                <w:spacing w:val="-2"/>
                <w:sz w:val="28"/>
                <w:szCs w:val="28"/>
              </w:rPr>
              <w:t xml:space="preserve"> nhằm </w:t>
            </w:r>
            <w:r w:rsidRPr="0086180A">
              <w:rPr>
                <w:sz w:val="28"/>
                <w:szCs w:val="28"/>
              </w:rPr>
              <w:t xml:space="preserve">tăng tính chủ động cho các cơ quan, đơn vị trong công tác </w:t>
            </w:r>
            <w:r w:rsidRPr="0086180A">
              <w:rPr>
                <w:sz w:val="28"/>
                <w:szCs w:val="28"/>
                <w:shd w:val="clear" w:color="auto" w:fill="FFFFFF"/>
              </w:rPr>
              <w:t>đầu tư, mua sắm các hoạt động thực hiện các nhiệm vụ khoa học và công nghệ, hoạt động ứng dụng công nghệ thông tin sử dụng nguồn kinh phí thuộc phạm vi quản lý tỉnh An Giang, phù hợp theo tinh thần Nghị quyết số 04/NQ-CP ngày 10 tháng 01 năm 2022 của Chính phủ về đẩy mạnh phân cấp, phân quyền trong quản lý nhà nước.</w:t>
            </w:r>
          </w:p>
        </w:tc>
      </w:tr>
      <w:tr w:rsidR="0086180A" w:rsidRPr="0086180A" w14:paraId="4357FC56" w14:textId="77777777" w:rsidTr="0086180A">
        <w:tc>
          <w:tcPr>
            <w:tcW w:w="2578" w:type="pct"/>
            <w:shd w:val="clear" w:color="auto" w:fill="FFFFFF"/>
          </w:tcPr>
          <w:p w14:paraId="05958F04" w14:textId="6EB989B4" w:rsidR="003D5D1D" w:rsidRDefault="00967BD3" w:rsidP="003D5D1D">
            <w:pPr>
              <w:spacing w:before="120" w:after="120"/>
              <w:ind w:left="145" w:right="54"/>
              <w:jc w:val="both"/>
              <w:rPr>
                <w:rFonts w:ascii="Times New Roman" w:hAnsi="Times New Roman" w:cs="Times New Roman"/>
                <w:b/>
                <w:bCs/>
                <w:color w:val="auto"/>
                <w:sz w:val="26"/>
                <w:szCs w:val="26"/>
                <w:lang w:val="en-US"/>
              </w:rPr>
            </w:pPr>
            <w:r w:rsidRPr="0086180A">
              <w:rPr>
                <w:rFonts w:ascii="Times New Roman" w:hAnsi="Times New Roman" w:cs="Times New Roman"/>
                <w:b/>
                <w:bCs/>
                <w:color w:val="auto"/>
                <w:sz w:val="26"/>
                <w:szCs w:val="26"/>
                <w:lang w:val="en-US"/>
              </w:rPr>
              <w:lastRenderedPageBreak/>
              <w:t xml:space="preserve">Điều 4. </w:t>
            </w:r>
            <w:r w:rsidR="003D5D1D">
              <w:rPr>
                <w:rFonts w:ascii="Times New Roman" w:hAnsi="Times New Roman" w:cs="Times New Roman"/>
                <w:b/>
                <w:bCs/>
                <w:color w:val="auto"/>
                <w:sz w:val="26"/>
                <w:szCs w:val="26"/>
                <w:lang w:val="en-US"/>
              </w:rPr>
              <w:t>Tổ chức thực hiện</w:t>
            </w:r>
          </w:p>
          <w:p w14:paraId="305C98FD" w14:textId="21767A3D" w:rsidR="00967BD3" w:rsidRPr="003D5D1D" w:rsidRDefault="003D5D1D" w:rsidP="003D5D1D">
            <w:pPr>
              <w:shd w:val="clear" w:color="auto" w:fill="FFFFFF"/>
              <w:spacing w:before="120" w:after="120"/>
              <w:ind w:left="145" w:right="54"/>
              <w:jc w:val="both"/>
              <w:rPr>
                <w:rFonts w:ascii="Times New Roman" w:hAnsi="Times New Roman"/>
                <w:sz w:val="28"/>
                <w:szCs w:val="28"/>
                <w:lang w:val="en-US"/>
              </w:rPr>
            </w:pPr>
            <w:r w:rsidRPr="003C6F6E">
              <w:rPr>
                <w:rFonts w:ascii="Times New Roman" w:hAnsi="Times New Roman"/>
                <w:sz w:val="28"/>
                <w:szCs w:val="28"/>
              </w:rPr>
              <w:t>Hội đồng nhân dân giao Ủy ban nhân dân tỉnh triển khai thực hiện Nghị quyết này.</w:t>
            </w:r>
          </w:p>
        </w:tc>
        <w:tc>
          <w:tcPr>
            <w:tcW w:w="2422" w:type="pct"/>
            <w:shd w:val="clear" w:color="auto" w:fill="FFFFFF"/>
          </w:tcPr>
          <w:p w14:paraId="6B660197" w14:textId="4B7523CB" w:rsidR="00967BD3" w:rsidRPr="0086180A" w:rsidRDefault="00682E4E" w:rsidP="0086180A">
            <w:pPr>
              <w:spacing w:before="120" w:after="120"/>
              <w:ind w:left="141" w:right="146"/>
              <w:jc w:val="both"/>
              <w:rPr>
                <w:rFonts w:ascii="Times New Roman" w:hAnsi="Times New Roman" w:cs="Times New Roman"/>
                <w:color w:val="auto"/>
                <w:sz w:val="28"/>
                <w:szCs w:val="28"/>
                <w:lang w:val="en-US"/>
              </w:rPr>
            </w:pPr>
            <w:r w:rsidRPr="0086180A">
              <w:rPr>
                <w:rFonts w:ascii="Times New Roman" w:hAnsi="Times New Roman" w:cs="Times New Roman"/>
                <w:color w:val="auto"/>
                <w:sz w:val="28"/>
                <w:szCs w:val="28"/>
                <w:lang w:val="en-US"/>
              </w:rPr>
              <w:t>Đơn vị chủ trì triển khai thực hiện Nghị quyết.</w:t>
            </w:r>
          </w:p>
        </w:tc>
      </w:tr>
      <w:tr w:rsidR="003D5D1D" w:rsidRPr="0086180A" w14:paraId="2E54C851" w14:textId="77777777" w:rsidTr="0086180A">
        <w:tc>
          <w:tcPr>
            <w:tcW w:w="2578" w:type="pct"/>
            <w:shd w:val="clear" w:color="auto" w:fill="FFFFFF"/>
          </w:tcPr>
          <w:p w14:paraId="3C534ECF" w14:textId="77777777" w:rsidR="003D5D1D" w:rsidRPr="003C6F6E" w:rsidRDefault="003D5D1D" w:rsidP="003D5D1D">
            <w:pPr>
              <w:shd w:val="clear" w:color="auto" w:fill="FFFFFF"/>
              <w:spacing w:before="120" w:after="120"/>
              <w:ind w:left="145" w:right="54"/>
              <w:jc w:val="both"/>
              <w:rPr>
                <w:rFonts w:ascii="Times New Roman" w:hAnsi="Times New Roman"/>
                <w:sz w:val="28"/>
                <w:szCs w:val="28"/>
              </w:rPr>
            </w:pPr>
            <w:r w:rsidRPr="003C6F6E">
              <w:rPr>
                <w:rFonts w:ascii="Times New Roman" w:eastAsiaTheme="minorHAnsi" w:hAnsi="Times New Roman"/>
                <w:b/>
                <w:sz w:val="28"/>
                <w:szCs w:val="28"/>
              </w:rPr>
              <w:t>Điều 5. Hiệu lực thi hành</w:t>
            </w:r>
          </w:p>
          <w:p w14:paraId="64A9CCD3" w14:textId="7446DB31" w:rsidR="003D5D1D" w:rsidRPr="0071054C" w:rsidRDefault="003D5D1D" w:rsidP="0071054C">
            <w:pPr>
              <w:shd w:val="clear" w:color="auto" w:fill="FFFFFF"/>
              <w:spacing w:before="120" w:after="120"/>
              <w:ind w:left="145" w:right="54"/>
              <w:jc w:val="both"/>
              <w:rPr>
                <w:rFonts w:ascii="Times New Roman" w:eastAsiaTheme="minorHAnsi" w:hAnsi="Times New Roman"/>
                <w:sz w:val="28"/>
                <w:szCs w:val="28"/>
                <w:lang w:val="en-US"/>
              </w:rPr>
            </w:pPr>
            <w:r w:rsidRPr="003C6F6E">
              <w:rPr>
                <w:rFonts w:ascii="Times New Roman" w:eastAsiaTheme="minorHAnsi" w:hAnsi="Times New Roman"/>
                <w:sz w:val="28"/>
                <w:szCs w:val="28"/>
              </w:rPr>
              <w:t>Nghị quyết này có hiệu lực thi hành từ ngày … tháng … năm 2025.</w:t>
            </w:r>
            <w:bookmarkStart w:id="0" w:name="_GoBack"/>
            <w:bookmarkEnd w:id="0"/>
          </w:p>
        </w:tc>
        <w:tc>
          <w:tcPr>
            <w:tcW w:w="2422" w:type="pct"/>
            <w:shd w:val="clear" w:color="auto" w:fill="FFFFFF"/>
          </w:tcPr>
          <w:p w14:paraId="61239D42" w14:textId="6A722360" w:rsidR="003D5D1D" w:rsidRPr="0086180A" w:rsidRDefault="003D5D1D" w:rsidP="0086180A">
            <w:pPr>
              <w:spacing w:before="120" w:after="120"/>
              <w:ind w:left="141" w:right="146"/>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Thời gian hiệu lực thi hành của Nghị quyết</w:t>
            </w:r>
            <w:r w:rsidR="0071054C">
              <w:rPr>
                <w:rFonts w:ascii="Times New Roman" w:hAnsi="Times New Roman" w:cs="Times New Roman"/>
                <w:color w:val="auto"/>
                <w:sz w:val="28"/>
                <w:szCs w:val="28"/>
                <w:lang w:val="en-US"/>
              </w:rPr>
              <w:t>.</w:t>
            </w:r>
          </w:p>
        </w:tc>
      </w:tr>
    </w:tbl>
    <w:p w14:paraId="2185D50F" w14:textId="77777777" w:rsidR="001A6CB6" w:rsidRPr="0086180A" w:rsidRDefault="001A6CB6" w:rsidP="001A6CB6">
      <w:pPr>
        <w:rPr>
          <w:rFonts w:ascii="Times New Roman" w:hAnsi="Times New Roman" w:cs="Times New Roman"/>
        </w:rPr>
      </w:pPr>
    </w:p>
    <w:sectPr w:rsidR="001A6CB6" w:rsidRPr="0086180A" w:rsidSect="0086180A">
      <w:headerReference w:type="even" r:id="rId8"/>
      <w:headerReference w:type="default" r:id="rId9"/>
      <w:pgSz w:w="11909" w:h="16834" w:code="9"/>
      <w:pgMar w:top="1134" w:right="1134" w:bottom="1134" w:left="1701" w:header="426"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A5382" w14:textId="77777777" w:rsidR="004A2372" w:rsidRDefault="004A2372">
      <w:r>
        <w:separator/>
      </w:r>
    </w:p>
  </w:endnote>
  <w:endnote w:type="continuationSeparator" w:id="0">
    <w:p w14:paraId="48CA7A97" w14:textId="77777777" w:rsidR="004A2372" w:rsidRDefault="004A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FFAD6" w14:textId="77777777" w:rsidR="004A2372" w:rsidRDefault="004A2372">
      <w:r>
        <w:separator/>
      </w:r>
    </w:p>
  </w:footnote>
  <w:footnote w:type="continuationSeparator" w:id="0">
    <w:p w14:paraId="131392BD" w14:textId="77777777" w:rsidR="004A2372" w:rsidRDefault="004A2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58057" w14:textId="77777777" w:rsidR="00903E39" w:rsidRDefault="00903E3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942999438"/>
      <w:docPartObj>
        <w:docPartGallery w:val="Page Numbers (Top of Page)"/>
        <w:docPartUnique/>
      </w:docPartObj>
    </w:sdtPr>
    <w:sdtEndPr>
      <w:rPr>
        <w:rFonts w:ascii="Times New Roman" w:hAnsi="Times New Roman" w:cs="Times New Roman"/>
        <w:noProof/>
        <w:sz w:val="26"/>
        <w:szCs w:val="26"/>
      </w:rPr>
    </w:sdtEndPr>
    <w:sdtContent>
      <w:p w14:paraId="6B8F377E" w14:textId="68E9C393" w:rsidR="0086180A" w:rsidRPr="0086180A" w:rsidRDefault="0086180A">
        <w:pPr>
          <w:pStyle w:val="Header"/>
          <w:jc w:val="center"/>
          <w:rPr>
            <w:rFonts w:ascii="Times New Roman" w:hAnsi="Times New Roman" w:cs="Times New Roman"/>
            <w:sz w:val="26"/>
            <w:szCs w:val="26"/>
          </w:rPr>
        </w:pPr>
        <w:r w:rsidRPr="0086180A">
          <w:rPr>
            <w:rFonts w:ascii="Times New Roman" w:hAnsi="Times New Roman" w:cs="Times New Roman"/>
            <w:noProof w:val="0"/>
            <w:sz w:val="26"/>
            <w:szCs w:val="26"/>
          </w:rPr>
          <w:fldChar w:fldCharType="begin"/>
        </w:r>
        <w:r w:rsidRPr="0086180A">
          <w:rPr>
            <w:rFonts w:ascii="Times New Roman" w:hAnsi="Times New Roman" w:cs="Times New Roman"/>
            <w:sz w:val="26"/>
            <w:szCs w:val="26"/>
          </w:rPr>
          <w:instrText xml:space="preserve"> PAGE   \* MERGEFORMAT </w:instrText>
        </w:r>
        <w:r w:rsidRPr="0086180A">
          <w:rPr>
            <w:rFonts w:ascii="Times New Roman" w:hAnsi="Times New Roman" w:cs="Times New Roman"/>
            <w:noProof w:val="0"/>
            <w:sz w:val="26"/>
            <w:szCs w:val="26"/>
          </w:rPr>
          <w:fldChar w:fldCharType="separate"/>
        </w:r>
        <w:r w:rsidR="0071054C">
          <w:rPr>
            <w:rFonts w:ascii="Times New Roman" w:hAnsi="Times New Roman" w:cs="Times New Roman"/>
            <w:sz w:val="26"/>
            <w:szCs w:val="26"/>
          </w:rPr>
          <w:t>5</w:t>
        </w:r>
        <w:r w:rsidRPr="0086180A">
          <w:rPr>
            <w:rFonts w:ascii="Times New Roman" w:hAnsi="Times New Roman" w:cs="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31A31"/>
    <w:multiLevelType w:val="hybridMultilevel"/>
    <w:tmpl w:val="A6942294"/>
    <w:lvl w:ilvl="0" w:tplc="930EEC2A">
      <w:start w:val="4"/>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B6"/>
    <w:rsid w:val="00010599"/>
    <w:rsid w:val="00023E68"/>
    <w:rsid w:val="00030B50"/>
    <w:rsid w:val="0003554B"/>
    <w:rsid w:val="00042511"/>
    <w:rsid w:val="00053F06"/>
    <w:rsid w:val="00063E13"/>
    <w:rsid w:val="00070A33"/>
    <w:rsid w:val="00077028"/>
    <w:rsid w:val="00090BF8"/>
    <w:rsid w:val="000D3DA6"/>
    <w:rsid w:val="000E2B01"/>
    <w:rsid w:val="00134800"/>
    <w:rsid w:val="001478F4"/>
    <w:rsid w:val="00154E24"/>
    <w:rsid w:val="001A6CB6"/>
    <w:rsid w:val="001D7BCB"/>
    <w:rsid w:val="001E698E"/>
    <w:rsid w:val="00211867"/>
    <w:rsid w:val="00212068"/>
    <w:rsid w:val="00226CBC"/>
    <w:rsid w:val="00233488"/>
    <w:rsid w:val="00251535"/>
    <w:rsid w:val="00252662"/>
    <w:rsid w:val="00262FC9"/>
    <w:rsid w:val="002722F3"/>
    <w:rsid w:val="002A6DFF"/>
    <w:rsid w:val="002C0089"/>
    <w:rsid w:val="0033164A"/>
    <w:rsid w:val="0034050C"/>
    <w:rsid w:val="00341335"/>
    <w:rsid w:val="00360394"/>
    <w:rsid w:val="003631F1"/>
    <w:rsid w:val="00367E32"/>
    <w:rsid w:val="00370389"/>
    <w:rsid w:val="00396D19"/>
    <w:rsid w:val="003B64FF"/>
    <w:rsid w:val="003D5D1D"/>
    <w:rsid w:val="003E5AD6"/>
    <w:rsid w:val="003F0944"/>
    <w:rsid w:val="00412CB8"/>
    <w:rsid w:val="00416867"/>
    <w:rsid w:val="00417FC9"/>
    <w:rsid w:val="00486E31"/>
    <w:rsid w:val="004A2372"/>
    <w:rsid w:val="004A3545"/>
    <w:rsid w:val="004D4001"/>
    <w:rsid w:val="004D585A"/>
    <w:rsid w:val="004D6BA4"/>
    <w:rsid w:val="004E6FFB"/>
    <w:rsid w:val="004F075D"/>
    <w:rsid w:val="004F24FE"/>
    <w:rsid w:val="004F6146"/>
    <w:rsid w:val="00516486"/>
    <w:rsid w:val="00530FF7"/>
    <w:rsid w:val="005421AF"/>
    <w:rsid w:val="00542A7C"/>
    <w:rsid w:val="00543E07"/>
    <w:rsid w:val="005519C5"/>
    <w:rsid w:val="00561588"/>
    <w:rsid w:val="00563738"/>
    <w:rsid w:val="0056584F"/>
    <w:rsid w:val="00581B4E"/>
    <w:rsid w:val="005C4464"/>
    <w:rsid w:val="005C6C39"/>
    <w:rsid w:val="005D3189"/>
    <w:rsid w:val="006117F3"/>
    <w:rsid w:val="006246A5"/>
    <w:rsid w:val="006248A4"/>
    <w:rsid w:val="006504C1"/>
    <w:rsid w:val="006506AF"/>
    <w:rsid w:val="006532A7"/>
    <w:rsid w:val="006537DD"/>
    <w:rsid w:val="00667CF6"/>
    <w:rsid w:val="0068293B"/>
    <w:rsid w:val="00682E4E"/>
    <w:rsid w:val="006A4F66"/>
    <w:rsid w:val="006C13E9"/>
    <w:rsid w:val="006C4C3B"/>
    <w:rsid w:val="006D4A7F"/>
    <w:rsid w:val="0071054C"/>
    <w:rsid w:val="00721CC9"/>
    <w:rsid w:val="007426E7"/>
    <w:rsid w:val="00743DE2"/>
    <w:rsid w:val="00750CF0"/>
    <w:rsid w:val="00756FB7"/>
    <w:rsid w:val="00762963"/>
    <w:rsid w:val="00776D58"/>
    <w:rsid w:val="007D08FA"/>
    <w:rsid w:val="007E0AFF"/>
    <w:rsid w:val="008121B4"/>
    <w:rsid w:val="0084655D"/>
    <w:rsid w:val="0085699C"/>
    <w:rsid w:val="008569B4"/>
    <w:rsid w:val="00860C10"/>
    <w:rsid w:val="0086180A"/>
    <w:rsid w:val="00873573"/>
    <w:rsid w:val="00875126"/>
    <w:rsid w:val="008B5FD9"/>
    <w:rsid w:val="008C1F7D"/>
    <w:rsid w:val="008D1D9C"/>
    <w:rsid w:val="008D74DE"/>
    <w:rsid w:val="00901669"/>
    <w:rsid w:val="0090351B"/>
    <w:rsid w:val="00903E39"/>
    <w:rsid w:val="00906BAD"/>
    <w:rsid w:val="00966CC4"/>
    <w:rsid w:val="00967BD3"/>
    <w:rsid w:val="009835BD"/>
    <w:rsid w:val="00990F81"/>
    <w:rsid w:val="00996D9D"/>
    <w:rsid w:val="009A0EB8"/>
    <w:rsid w:val="009A1525"/>
    <w:rsid w:val="009C7C3A"/>
    <w:rsid w:val="009C7CF2"/>
    <w:rsid w:val="009D1CB5"/>
    <w:rsid w:val="00A143E3"/>
    <w:rsid w:val="00A27A15"/>
    <w:rsid w:val="00A42B07"/>
    <w:rsid w:val="00A46D36"/>
    <w:rsid w:val="00A56D87"/>
    <w:rsid w:val="00A633DF"/>
    <w:rsid w:val="00A75BD7"/>
    <w:rsid w:val="00AC2C26"/>
    <w:rsid w:val="00AD54FA"/>
    <w:rsid w:val="00B145B7"/>
    <w:rsid w:val="00B32AD5"/>
    <w:rsid w:val="00B67CCC"/>
    <w:rsid w:val="00B82BDA"/>
    <w:rsid w:val="00BB5EFF"/>
    <w:rsid w:val="00BC4DC5"/>
    <w:rsid w:val="00BD4A2A"/>
    <w:rsid w:val="00BD5B8E"/>
    <w:rsid w:val="00C41472"/>
    <w:rsid w:val="00C75D26"/>
    <w:rsid w:val="00C84880"/>
    <w:rsid w:val="00C84D49"/>
    <w:rsid w:val="00CA334C"/>
    <w:rsid w:val="00CA7AF7"/>
    <w:rsid w:val="00CD2A9D"/>
    <w:rsid w:val="00CD3F21"/>
    <w:rsid w:val="00D225F3"/>
    <w:rsid w:val="00D3259F"/>
    <w:rsid w:val="00D35903"/>
    <w:rsid w:val="00D40E4D"/>
    <w:rsid w:val="00D72317"/>
    <w:rsid w:val="00D93ACD"/>
    <w:rsid w:val="00DA15A8"/>
    <w:rsid w:val="00DC0B7B"/>
    <w:rsid w:val="00DD6387"/>
    <w:rsid w:val="00DE7415"/>
    <w:rsid w:val="00E04A97"/>
    <w:rsid w:val="00E77AD6"/>
    <w:rsid w:val="00E82D3E"/>
    <w:rsid w:val="00F639C5"/>
    <w:rsid w:val="00F778A8"/>
    <w:rsid w:val="00FA551D"/>
    <w:rsid w:val="00FC707B"/>
    <w:rsid w:val="00FD0F54"/>
    <w:rsid w:val="00FD4344"/>
    <w:rsid w:val="00FD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CB6"/>
    <w:pPr>
      <w:widowControl w:val="0"/>
      <w:spacing w:after="0" w:line="240" w:lineRule="auto"/>
    </w:pPr>
    <w:rPr>
      <w:rFonts w:ascii="Courier New" w:eastAsia="Times New Roman" w:hAnsi="Courier New" w:cs="Courier New"/>
      <w:noProof/>
      <w:color w:val="000000"/>
      <w:kern w:val="0"/>
      <w:sz w:val="24"/>
      <w:szCs w:val="24"/>
      <w:lang w:val="vi-VN" w:eastAsia="vi-VN"/>
    </w:rPr>
  </w:style>
  <w:style w:type="paragraph" w:styleId="Heading1">
    <w:name w:val="heading 1"/>
    <w:basedOn w:val="Normal"/>
    <w:next w:val="Normal"/>
    <w:link w:val="Heading1Char"/>
    <w:uiPriority w:val="9"/>
    <w:qFormat/>
    <w:rsid w:val="001A6C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6C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6C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6C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6C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6C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C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C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C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CB6"/>
    <w:rPr>
      <w:rFonts w:asciiTheme="majorHAnsi" w:eastAsiaTheme="majorEastAsia" w:hAnsiTheme="majorHAnsi" w:cstheme="majorBidi"/>
      <w:noProof/>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1A6CB6"/>
    <w:rPr>
      <w:rFonts w:asciiTheme="majorHAnsi" w:eastAsiaTheme="majorEastAsia" w:hAnsiTheme="majorHAnsi" w:cstheme="majorBidi"/>
      <w:noProof/>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1A6CB6"/>
    <w:rPr>
      <w:rFonts w:eastAsiaTheme="majorEastAsia" w:cstheme="majorBidi"/>
      <w:noProof/>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1A6CB6"/>
    <w:rPr>
      <w:rFonts w:eastAsiaTheme="majorEastAsia" w:cstheme="majorBidi"/>
      <w:i/>
      <w:iCs/>
      <w:noProof/>
      <w:color w:val="2F5496" w:themeColor="accent1" w:themeShade="BF"/>
      <w:lang w:val="vi-VN"/>
    </w:rPr>
  </w:style>
  <w:style w:type="character" w:customStyle="1" w:styleId="Heading5Char">
    <w:name w:val="Heading 5 Char"/>
    <w:basedOn w:val="DefaultParagraphFont"/>
    <w:link w:val="Heading5"/>
    <w:uiPriority w:val="9"/>
    <w:semiHidden/>
    <w:rsid w:val="001A6CB6"/>
    <w:rPr>
      <w:rFonts w:eastAsiaTheme="majorEastAsia" w:cstheme="majorBidi"/>
      <w:noProof/>
      <w:color w:val="2F5496" w:themeColor="accent1" w:themeShade="BF"/>
      <w:lang w:val="vi-VN"/>
    </w:rPr>
  </w:style>
  <w:style w:type="character" w:customStyle="1" w:styleId="Heading6Char">
    <w:name w:val="Heading 6 Char"/>
    <w:basedOn w:val="DefaultParagraphFont"/>
    <w:link w:val="Heading6"/>
    <w:uiPriority w:val="9"/>
    <w:semiHidden/>
    <w:rsid w:val="001A6CB6"/>
    <w:rPr>
      <w:rFonts w:eastAsiaTheme="majorEastAsia" w:cstheme="majorBidi"/>
      <w:i/>
      <w:iCs/>
      <w:noProof/>
      <w:color w:val="595959" w:themeColor="text1" w:themeTint="A6"/>
      <w:lang w:val="vi-VN"/>
    </w:rPr>
  </w:style>
  <w:style w:type="character" w:customStyle="1" w:styleId="Heading7Char">
    <w:name w:val="Heading 7 Char"/>
    <w:basedOn w:val="DefaultParagraphFont"/>
    <w:link w:val="Heading7"/>
    <w:uiPriority w:val="9"/>
    <w:semiHidden/>
    <w:rsid w:val="001A6CB6"/>
    <w:rPr>
      <w:rFonts w:eastAsiaTheme="majorEastAsia" w:cstheme="majorBidi"/>
      <w:noProof/>
      <w:color w:val="595959" w:themeColor="text1" w:themeTint="A6"/>
      <w:lang w:val="vi-VN"/>
    </w:rPr>
  </w:style>
  <w:style w:type="character" w:customStyle="1" w:styleId="Heading8Char">
    <w:name w:val="Heading 8 Char"/>
    <w:basedOn w:val="DefaultParagraphFont"/>
    <w:link w:val="Heading8"/>
    <w:uiPriority w:val="9"/>
    <w:semiHidden/>
    <w:rsid w:val="001A6CB6"/>
    <w:rPr>
      <w:rFonts w:eastAsiaTheme="majorEastAsia" w:cstheme="majorBidi"/>
      <w:i/>
      <w:iCs/>
      <w:noProof/>
      <w:color w:val="272727" w:themeColor="text1" w:themeTint="D8"/>
      <w:lang w:val="vi-VN"/>
    </w:rPr>
  </w:style>
  <w:style w:type="character" w:customStyle="1" w:styleId="Heading9Char">
    <w:name w:val="Heading 9 Char"/>
    <w:basedOn w:val="DefaultParagraphFont"/>
    <w:link w:val="Heading9"/>
    <w:uiPriority w:val="9"/>
    <w:semiHidden/>
    <w:rsid w:val="001A6CB6"/>
    <w:rPr>
      <w:rFonts w:eastAsiaTheme="majorEastAsia" w:cstheme="majorBidi"/>
      <w:noProof/>
      <w:color w:val="272727" w:themeColor="text1" w:themeTint="D8"/>
      <w:lang w:val="vi-VN"/>
    </w:rPr>
  </w:style>
  <w:style w:type="paragraph" w:styleId="Title">
    <w:name w:val="Title"/>
    <w:basedOn w:val="Normal"/>
    <w:next w:val="Normal"/>
    <w:link w:val="TitleChar"/>
    <w:uiPriority w:val="10"/>
    <w:qFormat/>
    <w:rsid w:val="001A6C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CB6"/>
    <w:rPr>
      <w:rFonts w:asciiTheme="majorHAnsi" w:eastAsiaTheme="majorEastAsia" w:hAnsiTheme="majorHAnsi" w:cstheme="majorBidi"/>
      <w:noProof/>
      <w:spacing w:val="-10"/>
      <w:kern w:val="28"/>
      <w:sz w:val="56"/>
      <w:szCs w:val="56"/>
      <w:lang w:val="vi-VN"/>
    </w:rPr>
  </w:style>
  <w:style w:type="paragraph" w:styleId="Subtitle">
    <w:name w:val="Subtitle"/>
    <w:basedOn w:val="Normal"/>
    <w:next w:val="Normal"/>
    <w:link w:val="SubtitleChar"/>
    <w:uiPriority w:val="11"/>
    <w:qFormat/>
    <w:rsid w:val="001A6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CB6"/>
    <w:rPr>
      <w:rFonts w:eastAsiaTheme="majorEastAsia" w:cstheme="majorBidi"/>
      <w:noProof/>
      <w:color w:val="595959" w:themeColor="text1" w:themeTint="A6"/>
      <w:spacing w:val="15"/>
      <w:sz w:val="28"/>
      <w:szCs w:val="28"/>
      <w:lang w:val="vi-VN"/>
    </w:rPr>
  </w:style>
  <w:style w:type="paragraph" w:styleId="Quote">
    <w:name w:val="Quote"/>
    <w:basedOn w:val="Normal"/>
    <w:next w:val="Normal"/>
    <w:link w:val="QuoteChar"/>
    <w:uiPriority w:val="29"/>
    <w:qFormat/>
    <w:rsid w:val="001A6CB6"/>
    <w:pPr>
      <w:spacing w:before="160"/>
      <w:jc w:val="center"/>
    </w:pPr>
    <w:rPr>
      <w:i/>
      <w:iCs/>
      <w:color w:val="404040" w:themeColor="text1" w:themeTint="BF"/>
    </w:rPr>
  </w:style>
  <w:style w:type="character" w:customStyle="1" w:styleId="QuoteChar">
    <w:name w:val="Quote Char"/>
    <w:basedOn w:val="DefaultParagraphFont"/>
    <w:link w:val="Quote"/>
    <w:uiPriority w:val="29"/>
    <w:rsid w:val="001A6CB6"/>
    <w:rPr>
      <w:i/>
      <w:iCs/>
      <w:noProof/>
      <w:color w:val="404040" w:themeColor="text1" w:themeTint="BF"/>
      <w:lang w:val="vi-VN"/>
    </w:rPr>
  </w:style>
  <w:style w:type="paragraph" w:styleId="ListParagraph">
    <w:name w:val="List Paragraph"/>
    <w:basedOn w:val="Normal"/>
    <w:uiPriority w:val="34"/>
    <w:qFormat/>
    <w:rsid w:val="001A6CB6"/>
    <w:pPr>
      <w:ind w:left="720"/>
      <w:contextualSpacing/>
    </w:pPr>
  </w:style>
  <w:style w:type="character" w:styleId="IntenseEmphasis">
    <w:name w:val="Intense Emphasis"/>
    <w:basedOn w:val="DefaultParagraphFont"/>
    <w:uiPriority w:val="21"/>
    <w:qFormat/>
    <w:rsid w:val="001A6CB6"/>
    <w:rPr>
      <w:i/>
      <w:iCs/>
      <w:color w:val="2F5496" w:themeColor="accent1" w:themeShade="BF"/>
    </w:rPr>
  </w:style>
  <w:style w:type="paragraph" w:styleId="IntenseQuote">
    <w:name w:val="Intense Quote"/>
    <w:basedOn w:val="Normal"/>
    <w:next w:val="Normal"/>
    <w:link w:val="IntenseQuoteChar"/>
    <w:uiPriority w:val="30"/>
    <w:qFormat/>
    <w:rsid w:val="001A6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6CB6"/>
    <w:rPr>
      <w:i/>
      <w:iCs/>
      <w:noProof/>
      <w:color w:val="2F5496" w:themeColor="accent1" w:themeShade="BF"/>
      <w:lang w:val="vi-VN"/>
    </w:rPr>
  </w:style>
  <w:style w:type="character" w:styleId="IntenseReference">
    <w:name w:val="Intense Reference"/>
    <w:basedOn w:val="DefaultParagraphFont"/>
    <w:uiPriority w:val="32"/>
    <w:qFormat/>
    <w:rsid w:val="001A6CB6"/>
    <w:rPr>
      <w:b/>
      <w:bCs/>
      <w:smallCaps/>
      <w:color w:val="2F5496" w:themeColor="accent1" w:themeShade="BF"/>
      <w:spacing w:val="5"/>
    </w:rPr>
  </w:style>
  <w:style w:type="table" w:styleId="TableGrid">
    <w:name w:val="Table Grid"/>
    <w:basedOn w:val="TableNormal"/>
    <w:uiPriority w:val="39"/>
    <w:rsid w:val="001A6CB6"/>
    <w:pPr>
      <w:spacing w:after="0" w:line="240" w:lineRule="auto"/>
    </w:pPr>
    <w:rPr>
      <w:rFonts w:ascii="Courier New" w:eastAsia="Times New Roman" w:hAnsi="Courier New" w:cs="Courier New"/>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CA334C"/>
    <w:pPr>
      <w:widowControl/>
      <w:spacing w:before="100" w:beforeAutospacing="1" w:after="100" w:afterAutospacing="1"/>
    </w:pPr>
    <w:rPr>
      <w:rFonts w:ascii="Times New Roman" w:eastAsia="Calibri" w:hAnsi="Times New Roman" w:cs="Times New Roman"/>
      <w:noProof w:val="0"/>
      <w:color w:val="auto"/>
      <w:sz w:val="20"/>
      <w:lang w:val="en-US" w:eastAsia="en-US"/>
      <w14:ligatures w14:val="none"/>
    </w:rPr>
  </w:style>
  <w:style w:type="character" w:customStyle="1" w:styleId="NormalWebChar">
    <w:name w:val="Normal (Web) Char"/>
    <w:link w:val="NormalWeb"/>
    <w:locked/>
    <w:rsid w:val="00CA334C"/>
    <w:rPr>
      <w:rFonts w:ascii="Times New Roman" w:eastAsia="Calibri" w:hAnsi="Times New Roman" w:cs="Times New Roman"/>
      <w:kern w:val="0"/>
      <w:sz w:val="20"/>
      <w:szCs w:val="24"/>
      <w14:ligatures w14:val="none"/>
    </w:rPr>
  </w:style>
  <w:style w:type="paragraph" w:styleId="Header">
    <w:name w:val="header"/>
    <w:basedOn w:val="Normal"/>
    <w:link w:val="HeaderChar"/>
    <w:uiPriority w:val="99"/>
    <w:unhideWhenUsed/>
    <w:rsid w:val="0086180A"/>
    <w:pPr>
      <w:tabs>
        <w:tab w:val="center" w:pos="4680"/>
        <w:tab w:val="right" w:pos="9360"/>
      </w:tabs>
    </w:pPr>
  </w:style>
  <w:style w:type="character" w:customStyle="1" w:styleId="HeaderChar">
    <w:name w:val="Header Char"/>
    <w:basedOn w:val="DefaultParagraphFont"/>
    <w:link w:val="Header"/>
    <w:uiPriority w:val="99"/>
    <w:rsid w:val="0086180A"/>
    <w:rPr>
      <w:rFonts w:ascii="Courier New" w:eastAsia="Times New Roman" w:hAnsi="Courier New" w:cs="Courier New"/>
      <w:noProof/>
      <w:color w:val="000000"/>
      <w:kern w:val="0"/>
      <w:sz w:val="24"/>
      <w:szCs w:val="24"/>
      <w:lang w:val="vi-VN" w:eastAsia="vi-VN"/>
    </w:rPr>
  </w:style>
  <w:style w:type="paragraph" w:styleId="Footer">
    <w:name w:val="footer"/>
    <w:basedOn w:val="Normal"/>
    <w:link w:val="FooterChar"/>
    <w:uiPriority w:val="99"/>
    <w:unhideWhenUsed/>
    <w:rsid w:val="0086180A"/>
    <w:pPr>
      <w:tabs>
        <w:tab w:val="center" w:pos="4680"/>
        <w:tab w:val="right" w:pos="9360"/>
      </w:tabs>
    </w:pPr>
  </w:style>
  <w:style w:type="character" w:customStyle="1" w:styleId="FooterChar">
    <w:name w:val="Footer Char"/>
    <w:basedOn w:val="DefaultParagraphFont"/>
    <w:link w:val="Footer"/>
    <w:uiPriority w:val="99"/>
    <w:rsid w:val="0086180A"/>
    <w:rPr>
      <w:rFonts w:ascii="Courier New" w:eastAsia="Times New Roman" w:hAnsi="Courier New" w:cs="Courier New"/>
      <w:noProof/>
      <w:color w:val="000000"/>
      <w:kern w:val="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CB6"/>
    <w:pPr>
      <w:widowControl w:val="0"/>
      <w:spacing w:after="0" w:line="240" w:lineRule="auto"/>
    </w:pPr>
    <w:rPr>
      <w:rFonts w:ascii="Courier New" w:eastAsia="Times New Roman" w:hAnsi="Courier New" w:cs="Courier New"/>
      <w:noProof/>
      <w:color w:val="000000"/>
      <w:kern w:val="0"/>
      <w:sz w:val="24"/>
      <w:szCs w:val="24"/>
      <w:lang w:val="vi-VN" w:eastAsia="vi-VN"/>
    </w:rPr>
  </w:style>
  <w:style w:type="paragraph" w:styleId="Heading1">
    <w:name w:val="heading 1"/>
    <w:basedOn w:val="Normal"/>
    <w:next w:val="Normal"/>
    <w:link w:val="Heading1Char"/>
    <w:uiPriority w:val="9"/>
    <w:qFormat/>
    <w:rsid w:val="001A6C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6C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6C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6C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6C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6C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C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C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C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CB6"/>
    <w:rPr>
      <w:rFonts w:asciiTheme="majorHAnsi" w:eastAsiaTheme="majorEastAsia" w:hAnsiTheme="majorHAnsi" w:cstheme="majorBidi"/>
      <w:noProof/>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1A6CB6"/>
    <w:rPr>
      <w:rFonts w:asciiTheme="majorHAnsi" w:eastAsiaTheme="majorEastAsia" w:hAnsiTheme="majorHAnsi" w:cstheme="majorBidi"/>
      <w:noProof/>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1A6CB6"/>
    <w:rPr>
      <w:rFonts w:eastAsiaTheme="majorEastAsia" w:cstheme="majorBidi"/>
      <w:noProof/>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1A6CB6"/>
    <w:rPr>
      <w:rFonts w:eastAsiaTheme="majorEastAsia" w:cstheme="majorBidi"/>
      <w:i/>
      <w:iCs/>
      <w:noProof/>
      <w:color w:val="2F5496" w:themeColor="accent1" w:themeShade="BF"/>
      <w:lang w:val="vi-VN"/>
    </w:rPr>
  </w:style>
  <w:style w:type="character" w:customStyle="1" w:styleId="Heading5Char">
    <w:name w:val="Heading 5 Char"/>
    <w:basedOn w:val="DefaultParagraphFont"/>
    <w:link w:val="Heading5"/>
    <w:uiPriority w:val="9"/>
    <w:semiHidden/>
    <w:rsid w:val="001A6CB6"/>
    <w:rPr>
      <w:rFonts w:eastAsiaTheme="majorEastAsia" w:cstheme="majorBidi"/>
      <w:noProof/>
      <w:color w:val="2F5496" w:themeColor="accent1" w:themeShade="BF"/>
      <w:lang w:val="vi-VN"/>
    </w:rPr>
  </w:style>
  <w:style w:type="character" w:customStyle="1" w:styleId="Heading6Char">
    <w:name w:val="Heading 6 Char"/>
    <w:basedOn w:val="DefaultParagraphFont"/>
    <w:link w:val="Heading6"/>
    <w:uiPriority w:val="9"/>
    <w:semiHidden/>
    <w:rsid w:val="001A6CB6"/>
    <w:rPr>
      <w:rFonts w:eastAsiaTheme="majorEastAsia" w:cstheme="majorBidi"/>
      <w:i/>
      <w:iCs/>
      <w:noProof/>
      <w:color w:val="595959" w:themeColor="text1" w:themeTint="A6"/>
      <w:lang w:val="vi-VN"/>
    </w:rPr>
  </w:style>
  <w:style w:type="character" w:customStyle="1" w:styleId="Heading7Char">
    <w:name w:val="Heading 7 Char"/>
    <w:basedOn w:val="DefaultParagraphFont"/>
    <w:link w:val="Heading7"/>
    <w:uiPriority w:val="9"/>
    <w:semiHidden/>
    <w:rsid w:val="001A6CB6"/>
    <w:rPr>
      <w:rFonts w:eastAsiaTheme="majorEastAsia" w:cstheme="majorBidi"/>
      <w:noProof/>
      <w:color w:val="595959" w:themeColor="text1" w:themeTint="A6"/>
      <w:lang w:val="vi-VN"/>
    </w:rPr>
  </w:style>
  <w:style w:type="character" w:customStyle="1" w:styleId="Heading8Char">
    <w:name w:val="Heading 8 Char"/>
    <w:basedOn w:val="DefaultParagraphFont"/>
    <w:link w:val="Heading8"/>
    <w:uiPriority w:val="9"/>
    <w:semiHidden/>
    <w:rsid w:val="001A6CB6"/>
    <w:rPr>
      <w:rFonts w:eastAsiaTheme="majorEastAsia" w:cstheme="majorBidi"/>
      <w:i/>
      <w:iCs/>
      <w:noProof/>
      <w:color w:val="272727" w:themeColor="text1" w:themeTint="D8"/>
      <w:lang w:val="vi-VN"/>
    </w:rPr>
  </w:style>
  <w:style w:type="character" w:customStyle="1" w:styleId="Heading9Char">
    <w:name w:val="Heading 9 Char"/>
    <w:basedOn w:val="DefaultParagraphFont"/>
    <w:link w:val="Heading9"/>
    <w:uiPriority w:val="9"/>
    <w:semiHidden/>
    <w:rsid w:val="001A6CB6"/>
    <w:rPr>
      <w:rFonts w:eastAsiaTheme="majorEastAsia" w:cstheme="majorBidi"/>
      <w:noProof/>
      <w:color w:val="272727" w:themeColor="text1" w:themeTint="D8"/>
      <w:lang w:val="vi-VN"/>
    </w:rPr>
  </w:style>
  <w:style w:type="paragraph" w:styleId="Title">
    <w:name w:val="Title"/>
    <w:basedOn w:val="Normal"/>
    <w:next w:val="Normal"/>
    <w:link w:val="TitleChar"/>
    <w:uiPriority w:val="10"/>
    <w:qFormat/>
    <w:rsid w:val="001A6C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CB6"/>
    <w:rPr>
      <w:rFonts w:asciiTheme="majorHAnsi" w:eastAsiaTheme="majorEastAsia" w:hAnsiTheme="majorHAnsi" w:cstheme="majorBidi"/>
      <w:noProof/>
      <w:spacing w:val="-10"/>
      <w:kern w:val="28"/>
      <w:sz w:val="56"/>
      <w:szCs w:val="56"/>
      <w:lang w:val="vi-VN"/>
    </w:rPr>
  </w:style>
  <w:style w:type="paragraph" w:styleId="Subtitle">
    <w:name w:val="Subtitle"/>
    <w:basedOn w:val="Normal"/>
    <w:next w:val="Normal"/>
    <w:link w:val="SubtitleChar"/>
    <w:uiPriority w:val="11"/>
    <w:qFormat/>
    <w:rsid w:val="001A6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CB6"/>
    <w:rPr>
      <w:rFonts w:eastAsiaTheme="majorEastAsia" w:cstheme="majorBidi"/>
      <w:noProof/>
      <w:color w:val="595959" w:themeColor="text1" w:themeTint="A6"/>
      <w:spacing w:val="15"/>
      <w:sz w:val="28"/>
      <w:szCs w:val="28"/>
      <w:lang w:val="vi-VN"/>
    </w:rPr>
  </w:style>
  <w:style w:type="paragraph" w:styleId="Quote">
    <w:name w:val="Quote"/>
    <w:basedOn w:val="Normal"/>
    <w:next w:val="Normal"/>
    <w:link w:val="QuoteChar"/>
    <w:uiPriority w:val="29"/>
    <w:qFormat/>
    <w:rsid w:val="001A6CB6"/>
    <w:pPr>
      <w:spacing w:before="160"/>
      <w:jc w:val="center"/>
    </w:pPr>
    <w:rPr>
      <w:i/>
      <w:iCs/>
      <w:color w:val="404040" w:themeColor="text1" w:themeTint="BF"/>
    </w:rPr>
  </w:style>
  <w:style w:type="character" w:customStyle="1" w:styleId="QuoteChar">
    <w:name w:val="Quote Char"/>
    <w:basedOn w:val="DefaultParagraphFont"/>
    <w:link w:val="Quote"/>
    <w:uiPriority w:val="29"/>
    <w:rsid w:val="001A6CB6"/>
    <w:rPr>
      <w:i/>
      <w:iCs/>
      <w:noProof/>
      <w:color w:val="404040" w:themeColor="text1" w:themeTint="BF"/>
      <w:lang w:val="vi-VN"/>
    </w:rPr>
  </w:style>
  <w:style w:type="paragraph" w:styleId="ListParagraph">
    <w:name w:val="List Paragraph"/>
    <w:basedOn w:val="Normal"/>
    <w:uiPriority w:val="34"/>
    <w:qFormat/>
    <w:rsid w:val="001A6CB6"/>
    <w:pPr>
      <w:ind w:left="720"/>
      <w:contextualSpacing/>
    </w:pPr>
  </w:style>
  <w:style w:type="character" w:styleId="IntenseEmphasis">
    <w:name w:val="Intense Emphasis"/>
    <w:basedOn w:val="DefaultParagraphFont"/>
    <w:uiPriority w:val="21"/>
    <w:qFormat/>
    <w:rsid w:val="001A6CB6"/>
    <w:rPr>
      <w:i/>
      <w:iCs/>
      <w:color w:val="2F5496" w:themeColor="accent1" w:themeShade="BF"/>
    </w:rPr>
  </w:style>
  <w:style w:type="paragraph" w:styleId="IntenseQuote">
    <w:name w:val="Intense Quote"/>
    <w:basedOn w:val="Normal"/>
    <w:next w:val="Normal"/>
    <w:link w:val="IntenseQuoteChar"/>
    <w:uiPriority w:val="30"/>
    <w:qFormat/>
    <w:rsid w:val="001A6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6CB6"/>
    <w:rPr>
      <w:i/>
      <w:iCs/>
      <w:noProof/>
      <w:color w:val="2F5496" w:themeColor="accent1" w:themeShade="BF"/>
      <w:lang w:val="vi-VN"/>
    </w:rPr>
  </w:style>
  <w:style w:type="character" w:styleId="IntenseReference">
    <w:name w:val="Intense Reference"/>
    <w:basedOn w:val="DefaultParagraphFont"/>
    <w:uiPriority w:val="32"/>
    <w:qFormat/>
    <w:rsid w:val="001A6CB6"/>
    <w:rPr>
      <w:b/>
      <w:bCs/>
      <w:smallCaps/>
      <w:color w:val="2F5496" w:themeColor="accent1" w:themeShade="BF"/>
      <w:spacing w:val="5"/>
    </w:rPr>
  </w:style>
  <w:style w:type="table" w:styleId="TableGrid">
    <w:name w:val="Table Grid"/>
    <w:basedOn w:val="TableNormal"/>
    <w:uiPriority w:val="39"/>
    <w:rsid w:val="001A6CB6"/>
    <w:pPr>
      <w:spacing w:after="0" w:line="240" w:lineRule="auto"/>
    </w:pPr>
    <w:rPr>
      <w:rFonts w:ascii="Courier New" w:eastAsia="Times New Roman" w:hAnsi="Courier New" w:cs="Courier New"/>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CA334C"/>
    <w:pPr>
      <w:widowControl/>
      <w:spacing w:before="100" w:beforeAutospacing="1" w:after="100" w:afterAutospacing="1"/>
    </w:pPr>
    <w:rPr>
      <w:rFonts w:ascii="Times New Roman" w:eastAsia="Calibri" w:hAnsi="Times New Roman" w:cs="Times New Roman"/>
      <w:noProof w:val="0"/>
      <w:color w:val="auto"/>
      <w:sz w:val="20"/>
      <w:lang w:val="en-US" w:eastAsia="en-US"/>
      <w14:ligatures w14:val="none"/>
    </w:rPr>
  </w:style>
  <w:style w:type="character" w:customStyle="1" w:styleId="NormalWebChar">
    <w:name w:val="Normal (Web) Char"/>
    <w:link w:val="NormalWeb"/>
    <w:locked/>
    <w:rsid w:val="00CA334C"/>
    <w:rPr>
      <w:rFonts w:ascii="Times New Roman" w:eastAsia="Calibri" w:hAnsi="Times New Roman" w:cs="Times New Roman"/>
      <w:kern w:val="0"/>
      <w:sz w:val="20"/>
      <w:szCs w:val="24"/>
      <w14:ligatures w14:val="none"/>
    </w:rPr>
  </w:style>
  <w:style w:type="paragraph" w:styleId="Header">
    <w:name w:val="header"/>
    <w:basedOn w:val="Normal"/>
    <w:link w:val="HeaderChar"/>
    <w:uiPriority w:val="99"/>
    <w:unhideWhenUsed/>
    <w:rsid w:val="0086180A"/>
    <w:pPr>
      <w:tabs>
        <w:tab w:val="center" w:pos="4680"/>
        <w:tab w:val="right" w:pos="9360"/>
      </w:tabs>
    </w:pPr>
  </w:style>
  <w:style w:type="character" w:customStyle="1" w:styleId="HeaderChar">
    <w:name w:val="Header Char"/>
    <w:basedOn w:val="DefaultParagraphFont"/>
    <w:link w:val="Header"/>
    <w:uiPriority w:val="99"/>
    <w:rsid w:val="0086180A"/>
    <w:rPr>
      <w:rFonts w:ascii="Courier New" w:eastAsia="Times New Roman" w:hAnsi="Courier New" w:cs="Courier New"/>
      <w:noProof/>
      <w:color w:val="000000"/>
      <w:kern w:val="0"/>
      <w:sz w:val="24"/>
      <w:szCs w:val="24"/>
      <w:lang w:val="vi-VN" w:eastAsia="vi-VN"/>
    </w:rPr>
  </w:style>
  <w:style w:type="paragraph" w:styleId="Footer">
    <w:name w:val="footer"/>
    <w:basedOn w:val="Normal"/>
    <w:link w:val="FooterChar"/>
    <w:uiPriority w:val="99"/>
    <w:unhideWhenUsed/>
    <w:rsid w:val="0086180A"/>
    <w:pPr>
      <w:tabs>
        <w:tab w:val="center" w:pos="4680"/>
        <w:tab w:val="right" w:pos="9360"/>
      </w:tabs>
    </w:pPr>
  </w:style>
  <w:style w:type="character" w:customStyle="1" w:styleId="FooterChar">
    <w:name w:val="Footer Char"/>
    <w:basedOn w:val="DefaultParagraphFont"/>
    <w:link w:val="Footer"/>
    <w:uiPriority w:val="99"/>
    <w:rsid w:val="0086180A"/>
    <w:rPr>
      <w:rFonts w:ascii="Courier New" w:eastAsia="Times New Roman" w:hAnsi="Courier New" w:cs="Courier New"/>
      <w:noProof/>
      <w:color w:val="000000"/>
      <w:kern w:val="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tranngocthiennhi@outlook.com</dc:creator>
  <cp:keywords/>
  <dc:description/>
  <cp:lastModifiedBy>Administrator</cp:lastModifiedBy>
  <cp:revision>39</cp:revision>
  <dcterms:created xsi:type="dcterms:W3CDTF">2025-04-20T14:28:00Z</dcterms:created>
  <dcterms:modified xsi:type="dcterms:W3CDTF">2025-04-28T01:07:00Z</dcterms:modified>
</cp:coreProperties>
</file>