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597" w:rsidRPr="006F2579" w:rsidRDefault="002C4597" w:rsidP="002C4597">
      <w:pPr>
        <w:pStyle w:val="Heading2"/>
        <w:ind w:firstLine="720"/>
        <w:rPr>
          <w:rFonts w:eastAsia="Times New Roman"/>
          <w:lang w:val="it-IT"/>
        </w:rPr>
      </w:pPr>
      <w:r w:rsidRPr="006F2579">
        <w:rPr>
          <w:rFonts w:eastAsia="Times New Roman"/>
          <w:lang w:val="it-IT"/>
        </w:rPr>
        <w:t>24. Thủ tục miễn nhiệm giám định viên tư pháp</w:t>
      </w:r>
    </w:p>
    <w:p w:rsidR="002C4597" w:rsidRPr="00490999" w:rsidRDefault="002C4597" w:rsidP="002C4597">
      <w:pPr>
        <w:spacing w:line="240" w:lineRule="auto"/>
        <w:ind w:firstLine="720"/>
        <w:rPr>
          <w:rFonts w:ascii="Times New Roman" w:eastAsia="Arial" w:hAnsi="Times New Roman" w:cs="Times New Roman"/>
          <w:b/>
          <w:sz w:val="28"/>
          <w:szCs w:val="28"/>
          <w:lang w:val="en-US"/>
        </w:rPr>
      </w:pPr>
      <w:r w:rsidRPr="00490999">
        <w:rPr>
          <w:rFonts w:ascii="Times New Roman" w:eastAsia="Arial" w:hAnsi="Times New Roman" w:cs="Times New Roman"/>
          <w:b/>
          <w:sz w:val="28"/>
          <w:szCs w:val="28"/>
          <w:lang w:val="en-US"/>
        </w:rPr>
        <w:t>a) Trình tự thực hiện:</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Sở Khoa học và Công nghệ thống nhất ý kiến với Sở Tư pháp, lập hồ sơ đề nghị Chủ tịch Ủy ban nhân dân cấp tỉnh xem xét, quyết định miễn nhiệm giám định viên tư pháp ở địa phương;</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Trong thời hạn 10 ngày, kể từ ngày nhận được hồ sơ hợp lệ, Chủ tịch Ủy ban nhân dân cấp tỉnh 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w:t>
      </w:r>
    </w:p>
    <w:p w:rsidR="002C4597" w:rsidRPr="00490999" w:rsidRDefault="002C4597" w:rsidP="002C4597">
      <w:pPr>
        <w:spacing w:line="240" w:lineRule="auto"/>
        <w:ind w:firstLine="720"/>
        <w:rPr>
          <w:rFonts w:ascii="Times New Roman" w:eastAsia="Arial" w:hAnsi="Times New Roman" w:cs="Times New Roman"/>
          <w:b/>
          <w:sz w:val="28"/>
          <w:szCs w:val="28"/>
          <w:lang w:val="en-US"/>
        </w:rPr>
      </w:pPr>
      <w:r w:rsidRPr="00490999">
        <w:rPr>
          <w:rFonts w:ascii="Times New Roman" w:eastAsia="Arial" w:hAnsi="Times New Roman" w:cs="Times New Roman"/>
          <w:b/>
          <w:sz w:val="28"/>
          <w:szCs w:val="28"/>
          <w:lang w:val="en-US"/>
        </w:rPr>
        <w:t xml:space="preserve">b) Cách thức thực hiện: </w:t>
      </w:r>
      <w:r>
        <w:rPr>
          <w:rFonts w:ascii="Times New Roman" w:eastAsia="Arial" w:hAnsi="Times New Roman" w:cs="Times New Roman"/>
          <w:sz w:val="28"/>
          <w:szCs w:val="28"/>
        </w:rPr>
        <w:t>Tổ chức</w:t>
      </w:r>
      <w:r>
        <w:rPr>
          <w:rFonts w:ascii="Times New Roman" w:eastAsia="Arial" w:hAnsi="Times New Roman" w:cs="Times New Roman"/>
          <w:sz w:val="28"/>
          <w:szCs w:val="28"/>
          <w:lang w:val="en-US"/>
        </w:rPr>
        <w:t>, cá nhân</w:t>
      </w:r>
      <w:r>
        <w:rPr>
          <w:rFonts w:ascii="Times New Roman" w:eastAsia="Arial" w:hAnsi="Times New Roman" w:cs="Times New Roman"/>
          <w:sz w:val="28"/>
          <w:szCs w:val="28"/>
        </w:rPr>
        <w:t xml:space="preserve"> </w:t>
      </w:r>
      <w:r>
        <w:rPr>
          <w:rFonts w:ascii="Times New Roman" w:eastAsia="Arial" w:hAnsi="Times New Roman" w:cs="Times New Roman"/>
          <w:spacing w:val="-2"/>
          <w:sz w:val="28"/>
          <w:szCs w:val="28"/>
          <w:lang w:val="it-IT"/>
        </w:rPr>
        <w:t>nộp hồ sơ trực tiếp tại trụ sở Trung tâm Hành chính công tỉnh An Giang hoặc qua dịch vụ bưu chính hoặc trực tiếp qua phần mềm dịch vụ công trực tuyến.</w:t>
      </w:r>
    </w:p>
    <w:p w:rsidR="002C4597" w:rsidRPr="00490999" w:rsidRDefault="002C4597" w:rsidP="002C4597">
      <w:pPr>
        <w:spacing w:line="240" w:lineRule="auto"/>
        <w:ind w:firstLine="720"/>
        <w:rPr>
          <w:rFonts w:ascii="Times New Roman" w:eastAsia="Arial" w:hAnsi="Times New Roman" w:cs="Times New Roman"/>
          <w:b/>
          <w:sz w:val="28"/>
          <w:szCs w:val="28"/>
          <w:lang w:val="en-US"/>
        </w:rPr>
      </w:pPr>
      <w:r w:rsidRPr="00490999">
        <w:rPr>
          <w:rFonts w:ascii="Times New Roman" w:eastAsia="Arial" w:hAnsi="Times New Roman" w:cs="Times New Roman"/>
          <w:b/>
          <w:sz w:val="28"/>
          <w:szCs w:val="28"/>
        </w:rPr>
        <w:t>c) Thành phần, số lượng hồ sơ:</w:t>
      </w:r>
    </w:p>
    <w:p w:rsidR="002C4597" w:rsidRPr="00490999" w:rsidRDefault="002C4597" w:rsidP="002C4597">
      <w:pPr>
        <w:spacing w:line="240" w:lineRule="auto"/>
        <w:ind w:firstLine="720"/>
        <w:rPr>
          <w:rFonts w:ascii="Times New Roman" w:eastAsia="Arial" w:hAnsi="Times New Roman" w:cs="Times New Roman"/>
          <w:i/>
          <w:sz w:val="28"/>
          <w:szCs w:val="28"/>
          <w:lang w:val="en-US"/>
        </w:rPr>
      </w:pPr>
      <w:r w:rsidRPr="00490999">
        <w:rPr>
          <w:rFonts w:ascii="Times New Roman" w:eastAsia="Arial" w:hAnsi="Times New Roman" w:cs="Times New Roman"/>
          <w:sz w:val="28"/>
          <w:szCs w:val="28"/>
          <w:lang w:val="en-US"/>
        </w:rPr>
        <w:sym w:font="Wingdings" w:char="F076"/>
      </w:r>
      <w:r w:rsidRPr="00490999">
        <w:rPr>
          <w:rFonts w:ascii="Times New Roman" w:eastAsia="Arial" w:hAnsi="Times New Roman" w:cs="Times New Roman"/>
          <w:sz w:val="28"/>
          <w:szCs w:val="28"/>
          <w:lang w:val="en-US"/>
        </w:rPr>
        <w:t xml:space="preserve"> </w:t>
      </w:r>
      <w:r w:rsidRPr="00490999">
        <w:rPr>
          <w:rFonts w:ascii="Times New Roman" w:eastAsia="Arial" w:hAnsi="Times New Roman" w:cs="Times New Roman"/>
          <w:i/>
          <w:sz w:val="28"/>
          <w:szCs w:val="28"/>
          <w:lang w:val="en-US"/>
        </w:rPr>
        <w:t>Thành phần hồ sơ</w:t>
      </w:r>
      <w:r>
        <w:rPr>
          <w:rFonts w:ascii="Times New Roman" w:eastAsia="Arial" w:hAnsi="Times New Roman" w:cs="Times New Roman"/>
          <w:i/>
          <w:sz w:val="28"/>
          <w:szCs w:val="28"/>
          <w:lang w:val="en-US"/>
        </w:rPr>
        <w:t>:</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Văn bản đề nghị miễn nhiệm giám định viên tư pháp của đơn vị đã đề nghị bổ nhiệm người đó.</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Văn bản, giấy tờ chứng minh giám định viên tư pháp thuộc một trong các trường hợp quy định tại khoản 1 Điều 10,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Không còn đủ tiêu chuẩn quy định tại khoản 1 Điều 7 của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Thuộc một trong các trường hợp quy định tại khoản 2 Điều 7 của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Bị xử lý kỷ luật từ hình thức cảnh cáo trở lên hoặc bị xử phạt hành chính do cố ý vi phạm quy định của pháp luật về giám định tư pháp;</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Thực hiện một trong các hành vi quy định tại Điều 6 của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sz w:val="28"/>
          <w:szCs w:val="28"/>
          <w:lang w:val="en-US"/>
        </w:rPr>
        <w:t>+ Theo đề nghị của giám định viên tư pháp là công chức, viên chức có quyết định nghỉ việc để hưởng chế độ hưu trí hoặc thôi việc.</w:t>
      </w:r>
    </w:p>
    <w:p w:rsidR="002C4597" w:rsidRPr="00490999" w:rsidRDefault="002C4597" w:rsidP="002C4597">
      <w:pPr>
        <w:spacing w:line="240" w:lineRule="auto"/>
        <w:ind w:firstLine="720"/>
        <w:rPr>
          <w:rFonts w:ascii="Times New Roman" w:eastAsia="Arial" w:hAnsi="Times New Roman" w:cs="Times New Roman"/>
          <w:i/>
          <w:sz w:val="28"/>
          <w:szCs w:val="28"/>
          <w:lang w:val="en-US"/>
        </w:rPr>
      </w:pPr>
      <w:r w:rsidRPr="00490999">
        <w:rPr>
          <w:rFonts w:ascii="Times New Roman" w:eastAsia="Arial" w:hAnsi="Times New Roman" w:cs="Times New Roman"/>
          <w:sz w:val="28"/>
          <w:szCs w:val="28"/>
          <w:lang w:val="en-US"/>
        </w:rPr>
        <w:sym w:font="Wingdings" w:char="F076"/>
      </w:r>
      <w:r>
        <w:rPr>
          <w:rFonts w:ascii="Times New Roman" w:eastAsia="Arial" w:hAnsi="Times New Roman" w:cs="Times New Roman"/>
          <w:i/>
          <w:sz w:val="28"/>
          <w:szCs w:val="28"/>
          <w:lang w:val="en-US"/>
        </w:rPr>
        <w:t xml:space="preserve"> </w:t>
      </w:r>
      <w:r w:rsidRPr="00490999">
        <w:rPr>
          <w:rFonts w:ascii="Times New Roman" w:eastAsia="Arial" w:hAnsi="Times New Roman" w:cs="Times New Roman"/>
          <w:i/>
          <w:sz w:val="28"/>
          <w:szCs w:val="28"/>
          <w:lang w:val="en-US"/>
        </w:rPr>
        <w:t>Số lượng hồ sơ:</w:t>
      </w:r>
      <w:r w:rsidRPr="00490999">
        <w:rPr>
          <w:rFonts w:ascii="Times New Roman" w:eastAsia="Arial" w:hAnsi="Times New Roman" w:cs="Times New Roman"/>
          <w:sz w:val="28"/>
          <w:szCs w:val="28"/>
          <w:lang w:val="en-US"/>
        </w:rPr>
        <w:t xml:space="preserve"> </w:t>
      </w:r>
      <w:r w:rsidRPr="00490999">
        <w:rPr>
          <w:rFonts w:ascii="Times New Roman" w:eastAsia="Arial" w:hAnsi="Times New Roman" w:cs="Times New Roman"/>
          <w:sz w:val="28"/>
          <w:szCs w:val="28"/>
        </w:rPr>
        <w:t>Không quy định cụ thể</w:t>
      </w:r>
      <w:r w:rsidRPr="00490999">
        <w:rPr>
          <w:rFonts w:ascii="Times New Roman" w:eastAsia="Arial" w:hAnsi="Times New Roman" w:cs="Times New Roman"/>
          <w:sz w:val="28"/>
          <w:szCs w:val="28"/>
          <w:lang w:val="en-US"/>
        </w:rPr>
        <w:t>.</w:t>
      </w:r>
    </w:p>
    <w:p w:rsidR="002C4597" w:rsidRPr="00490999" w:rsidRDefault="002C4597" w:rsidP="002C4597">
      <w:pPr>
        <w:spacing w:line="240" w:lineRule="auto"/>
        <w:ind w:firstLine="720"/>
        <w:rPr>
          <w:rFonts w:ascii="Times New Roman" w:eastAsia="Arial" w:hAnsi="Times New Roman" w:cs="Times New Roman"/>
          <w:sz w:val="28"/>
          <w:szCs w:val="28"/>
          <w:lang w:val="en-US"/>
        </w:rPr>
      </w:pPr>
      <w:r w:rsidRPr="00490999">
        <w:rPr>
          <w:rFonts w:ascii="Times New Roman" w:eastAsia="Arial" w:hAnsi="Times New Roman" w:cs="Times New Roman"/>
          <w:b/>
          <w:sz w:val="28"/>
          <w:szCs w:val="28"/>
        </w:rPr>
        <w:t>d) Thời hạn giải quyết:</w:t>
      </w:r>
      <w:r w:rsidRPr="00490999">
        <w:rPr>
          <w:rFonts w:ascii="Times New Roman" w:eastAsia="Arial" w:hAnsi="Times New Roman" w:cs="Times New Roman"/>
          <w:sz w:val="28"/>
          <w:szCs w:val="28"/>
        </w:rPr>
        <w:t xml:space="preserve">  </w:t>
      </w:r>
      <w:r w:rsidRPr="00490999">
        <w:rPr>
          <w:rFonts w:ascii="Times New Roman" w:eastAsia="Arial" w:hAnsi="Times New Roman" w:cs="Times New Roman"/>
          <w:sz w:val="28"/>
          <w:szCs w:val="28"/>
          <w:lang w:val="en-US"/>
        </w:rPr>
        <w:t>Trong thời hạn 10 ngày, kể từ ngày nhận được hồ sơ hợp lệ, Chủ tịch Ủy ban nhân dân cấp tỉnh xem xét, quyết định miễn nhiệm giám định viên tư pháp và điều chỉnh danh sách giám định viên tư pháp trên cổng thông tin điện tử của Ủy ban nhân dân cấp tỉnh, đồng thời gửi Bộ Tư pháp để điều chỉnh danh sách chung về giám định viên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đ) Đối tượng thực hiện thủ tụ</w:t>
      </w:r>
      <w:r>
        <w:rPr>
          <w:rFonts w:ascii="Times New Roman" w:eastAsia="Arial" w:hAnsi="Times New Roman" w:cs="Times New Roman"/>
          <w:b/>
          <w:sz w:val="28"/>
          <w:szCs w:val="28"/>
        </w:rPr>
        <w:t>c hành chính:</w:t>
      </w:r>
      <w:r>
        <w:rPr>
          <w:rFonts w:ascii="Times New Roman" w:eastAsia="Arial" w:hAnsi="Times New Roman" w:cs="Times New Roman"/>
          <w:b/>
          <w:sz w:val="28"/>
          <w:szCs w:val="28"/>
          <w:lang w:val="en-US"/>
        </w:rPr>
        <w:t xml:space="preserve"> </w:t>
      </w:r>
      <w:r w:rsidRPr="00490999">
        <w:rPr>
          <w:rFonts w:ascii="Times New Roman" w:eastAsia="Arial" w:hAnsi="Times New Roman" w:cs="Times New Roman"/>
          <w:sz w:val="28"/>
          <w:szCs w:val="28"/>
        </w:rPr>
        <w:t>Giám định viên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e) Cơ quan thực hiện thủ tục hành chính:</w:t>
      </w:r>
      <w:r w:rsidRPr="00490999">
        <w:rPr>
          <w:rFonts w:ascii="Times New Roman" w:eastAsia="Arial" w:hAnsi="Times New Roman" w:cs="Times New Roman"/>
          <w:sz w:val="28"/>
          <w:szCs w:val="28"/>
        </w:rPr>
        <w:t xml:space="preserve"> </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Cơ quan có thẩm quyền quyết định: Chủ tịch Ủy ban nhân dân cấp tỉnh.</w:t>
      </w:r>
    </w:p>
    <w:p w:rsidR="002C4597" w:rsidRPr="00490999" w:rsidRDefault="002C4597" w:rsidP="002C4597">
      <w:pPr>
        <w:spacing w:line="240" w:lineRule="auto"/>
        <w:ind w:firstLine="720"/>
        <w:rPr>
          <w:rFonts w:ascii="Times New Roman" w:eastAsia="Arial" w:hAnsi="Times New Roman" w:cs="Times New Roman"/>
          <w:spacing w:val="-6"/>
          <w:sz w:val="28"/>
          <w:szCs w:val="28"/>
        </w:rPr>
      </w:pPr>
      <w:r w:rsidRPr="00490999">
        <w:rPr>
          <w:rFonts w:ascii="Times New Roman" w:eastAsia="Arial" w:hAnsi="Times New Roman" w:cs="Times New Roman"/>
          <w:spacing w:val="-6"/>
          <w:sz w:val="28"/>
          <w:szCs w:val="28"/>
        </w:rPr>
        <w:lastRenderedPageBreak/>
        <w:t>- Cơ quan trực tiếp thực hiện thủ tục hành chính: Sở Khoa học và Công nghệ.</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Cơ quan phối hợp: Thủ trưởng đơn vị</w:t>
      </w:r>
      <w:r w:rsidRPr="00490999">
        <w:rPr>
          <w:rFonts w:ascii="Times New Roman" w:eastAsia="Arial" w:hAnsi="Times New Roman" w:cs="Times New Roman"/>
          <w:b/>
          <w:sz w:val="28"/>
          <w:szCs w:val="28"/>
        </w:rPr>
        <w:t xml:space="preserve"> </w:t>
      </w:r>
      <w:r w:rsidRPr="00490999">
        <w:rPr>
          <w:rFonts w:ascii="Times New Roman" w:eastAsia="Arial" w:hAnsi="Times New Roman" w:cs="Times New Roman"/>
          <w:sz w:val="28"/>
          <w:szCs w:val="28"/>
        </w:rPr>
        <w:t>đã đề nghị bổ nhiệm giám định viên tư pháp, Sở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g) Kết quả thực hiện thủ tục hành chính:</w:t>
      </w:r>
      <w:r w:rsidRPr="00490999">
        <w:rPr>
          <w:rFonts w:ascii="Times New Roman" w:eastAsia="Arial" w:hAnsi="Times New Roman" w:cs="Times New Roman"/>
          <w:sz w:val="28"/>
          <w:szCs w:val="28"/>
        </w:rPr>
        <w:t xml:space="preserve"> Quyết định miễn nhiệm giám định viên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b/>
          <w:sz w:val="28"/>
          <w:szCs w:val="28"/>
        </w:rPr>
        <w:t xml:space="preserve">h) Lệ phí: </w:t>
      </w:r>
      <w:r w:rsidRPr="00490999">
        <w:rPr>
          <w:rFonts w:ascii="Times New Roman" w:eastAsia="Arial" w:hAnsi="Times New Roman" w:cs="Times New Roman"/>
          <w:sz w:val="28"/>
          <w:szCs w:val="28"/>
        </w:rPr>
        <w:t>Không.</w:t>
      </w:r>
    </w:p>
    <w:p w:rsidR="002C4597" w:rsidRPr="00490999" w:rsidRDefault="002C4597" w:rsidP="002C4597">
      <w:pPr>
        <w:spacing w:line="240" w:lineRule="auto"/>
        <w:ind w:firstLine="720"/>
        <w:rPr>
          <w:rFonts w:ascii="Times New Roman" w:eastAsia="Arial" w:hAnsi="Times New Roman" w:cs="Times New Roman"/>
          <w:i/>
          <w:sz w:val="28"/>
          <w:szCs w:val="28"/>
        </w:rPr>
      </w:pPr>
      <w:r w:rsidRPr="00490999">
        <w:rPr>
          <w:rFonts w:ascii="Times New Roman" w:eastAsia="Arial" w:hAnsi="Times New Roman" w:cs="Times New Roman"/>
          <w:b/>
          <w:sz w:val="28"/>
          <w:szCs w:val="28"/>
        </w:rPr>
        <w:t xml:space="preserve">i) Tên mẫu đơn, mẫu tờ khai: </w:t>
      </w:r>
      <w:r w:rsidRPr="00490999">
        <w:rPr>
          <w:rFonts w:ascii="Times New Roman" w:eastAsia="Arial" w:hAnsi="Times New Roman" w:cs="Times New Roman"/>
          <w:sz w:val="28"/>
          <w:szCs w:val="28"/>
        </w:rPr>
        <w:t>Không.</w:t>
      </w:r>
    </w:p>
    <w:p w:rsidR="002C4597" w:rsidRPr="00490999" w:rsidRDefault="002C4597" w:rsidP="002C4597">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b/>
          <w:sz w:val="28"/>
          <w:szCs w:val="28"/>
        </w:rPr>
        <w:t>k) Yêu cầu, điều kiện thực hiện thủ tục hành chính:</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Việc miễn nhiệm giám định viên tư pháp trong hoạt động khoa học và công nghệ được thực hiện trong các trường hợp sau đây:</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Không còn đủ tiêu chuẩn quy định tại khoản 1 Điều 7 của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Thuộc một trong các trường hợp quy định tại khoản 2 Điều 7 của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Bị xử lý kỷ luật từ hình thức cảnh cáo trở lên hoặc bị xử phạt hành chính do cố ý vi phạm quy định của pháp luật về giám định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Thực hiện một trong các hành vi quy định tại Điều 6 của Luật Giám định tư pháp;</w:t>
      </w:r>
    </w:p>
    <w:p w:rsidR="002C4597" w:rsidRPr="00490999" w:rsidRDefault="002C4597" w:rsidP="002C4597">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sz w:val="28"/>
          <w:szCs w:val="28"/>
        </w:rPr>
        <w:t>- Theo đề nghị của giám định viên tư pháp là công chức, viên chức có quyết định nghỉ việc để hưởng chế độ hưu trí hoặc thôi việc.</w:t>
      </w:r>
      <w:r w:rsidRPr="00490999">
        <w:rPr>
          <w:rFonts w:ascii="Times New Roman" w:eastAsia="Arial" w:hAnsi="Times New Roman" w:cs="Times New Roman"/>
          <w:b/>
          <w:sz w:val="28"/>
          <w:szCs w:val="28"/>
        </w:rPr>
        <w:t xml:space="preserve"> </w:t>
      </w:r>
    </w:p>
    <w:p w:rsidR="002C4597" w:rsidRPr="00490999" w:rsidRDefault="002C4597" w:rsidP="002C4597">
      <w:pPr>
        <w:spacing w:line="240" w:lineRule="auto"/>
        <w:ind w:firstLine="720"/>
        <w:rPr>
          <w:rFonts w:ascii="Times New Roman" w:eastAsia="Arial" w:hAnsi="Times New Roman" w:cs="Times New Roman"/>
          <w:b/>
          <w:sz w:val="28"/>
          <w:szCs w:val="28"/>
        </w:rPr>
      </w:pPr>
      <w:r w:rsidRPr="00490999">
        <w:rPr>
          <w:rFonts w:ascii="Times New Roman" w:eastAsia="Arial" w:hAnsi="Times New Roman" w:cs="Times New Roman"/>
          <w:b/>
          <w:sz w:val="28"/>
          <w:szCs w:val="28"/>
        </w:rPr>
        <w:t>l) Căn cứ pháp lý của thủ tục hành chính:</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Luật giám định tư pháp ngày 20/6/2012;</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Nghị định số 85/2013/NĐ-CP ngày 29/7/2013 của Chính phủ quy định chi tiết và biện pháp thi hành Luật giám định tư pháp;</w:t>
      </w:r>
    </w:p>
    <w:p w:rsidR="002C4597" w:rsidRPr="00490999" w:rsidRDefault="002C4597" w:rsidP="002C4597">
      <w:pPr>
        <w:spacing w:line="240" w:lineRule="auto"/>
        <w:ind w:firstLine="720"/>
        <w:rPr>
          <w:rFonts w:ascii="Times New Roman" w:eastAsia="Arial" w:hAnsi="Times New Roman" w:cs="Times New Roman"/>
          <w:sz w:val="28"/>
          <w:szCs w:val="28"/>
        </w:rPr>
      </w:pPr>
      <w:r w:rsidRPr="00490999">
        <w:rPr>
          <w:rFonts w:ascii="Times New Roman" w:eastAsia="Arial" w:hAnsi="Times New Roman" w:cs="Times New Roman"/>
          <w:sz w:val="28"/>
          <w:szCs w:val="28"/>
        </w:rPr>
        <w:t>- Thông tư số 35/2014/TT-BKHCN ngày 11/12/2014 của Bộ trưởng Bộ Khoa học và Công nghệ quy định về giám định tư pháp trong hoạt động khoa học và công nghệ.</w:t>
      </w:r>
    </w:p>
    <w:p w:rsidR="002C4597" w:rsidRPr="00490999" w:rsidRDefault="002C4597" w:rsidP="002C4597">
      <w:pPr>
        <w:spacing w:line="240" w:lineRule="auto"/>
        <w:rPr>
          <w:rFonts w:ascii="Times New Roman" w:eastAsia="Arial" w:hAnsi="Times New Roman" w:cs="Times New Roman"/>
          <w:sz w:val="28"/>
          <w:szCs w:val="28"/>
        </w:rPr>
      </w:pPr>
    </w:p>
    <w:p w:rsidR="002C4597" w:rsidRPr="006F2579" w:rsidRDefault="002C4597" w:rsidP="002C4597">
      <w:pPr>
        <w:spacing w:line="240" w:lineRule="auto"/>
        <w:rPr>
          <w:rFonts w:ascii="Times New Roman" w:eastAsia="Arial" w:hAnsi="Times New Roman" w:cs="Times New Roman"/>
          <w:sz w:val="28"/>
          <w:szCs w:val="28"/>
          <w:lang w:val="it-IT"/>
        </w:rPr>
      </w:pPr>
    </w:p>
    <w:p w:rsidR="002C4597" w:rsidRDefault="002C4597" w:rsidP="002C4597">
      <w:pPr>
        <w:spacing w:before="0" w:line="240" w:lineRule="auto"/>
        <w:rPr>
          <w:rFonts w:ascii="Times New Roman" w:eastAsia="Times New Roman" w:hAnsi="Times New Roman" w:cstheme="majorBidi"/>
          <w:b/>
          <w:bCs/>
          <w:sz w:val="28"/>
          <w:szCs w:val="26"/>
          <w:lang w:val="it-IT"/>
        </w:rPr>
      </w:pPr>
      <w:r>
        <w:rPr>
          <w:rFonts w:eastAsia="Times New Roman"/>
          <w:lang w:val="it-IT"/>
        </w:rPr>
        <w:br w:type="page"/>
      </w:r>
    </w:p>
    <w:p w:rsidR="00B84883" w:rsidRPr="002C4597" w:rsidRDefault="00B84883" w:rsidP="002C4597">
      <w:bookmarkStart w:id="0" w:name="_GoBack"/>
      <w:bookmarkEnd w:id="0"/>
    </w:p>
    <w:sectPr w:rsidR="00B84883" w:rsidRPr="002C4597" w:rsidSect="005C21EA">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6F6" w:rsidRDefault="007456F6" w:rsidP="000A5ECC">
      <w:pPr>
        <w:spacing w:line="240" w:lineRule="auto"/>
      </w:pPr>
      <w:r>
        <w:separator/>
      </w:r>
    </w:p>
  </w:endnote>
  <w:endnote w:type="continuationSeparator" w:id="0">
    <w:p w:rsidR="007456F6" w:rsidRDefault="007456F6" w:rsidP="000A5E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6F6" w:rsidRDefault="007456F6" w:rsidP="000A5ECC">
      <w:pPr>
        <w:spacing w:line="240" w:lineRule="auto"/>
      </w:pPr>
      <w:r>
        <w:separator/>
      </w:r>
    </w:p>
  </w:footnote>
  <w:footnote w:type="continuationSeparator" w:id="0">
    <w:p w:rsidR="007456F6" w:rsidRDefault="007456F6" w:rsidP="000A5E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ECC"/>
    <w:rsid w:val="000A5ECC"/>
    <w:rsid w:val="00214173"/>
    <w:rsid w:val="002C4597"/>
    <w:rsid w:val="005C21EA"/>
    <w:rsid w:val="007456F6"/>
    <w:rsid w:val="008C484F"/>
    <w:rsid w:val="00A330FA"/>
    <w:rsid w:val="00B8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7"/>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2C4597"/>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ECC"/>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A5ECC"/>
    <w:rPr>
      <w:sz w:val="20"/>
      <w:szCs w:val="20"/>
    </w:rPr>
  </w:style>
  <w:style w:type="character" w:styleId="FootnoteReference">
    <w:name w:val="footnote reference"/>
    <w:basedOn w:val="DefaultParagraphFont"/>
    <w:uiPriority w:val="99"/>
    <w:semiHidden/>
    <w:unhideWhenUsed/>
    <w:rsid w:val="000A5ECC"/>
    <w:rPr>
      <w:vertAlign w:val="superscript"/>
    </w:rPr>
  </w:style>
  <w:style w:type="character" w:customStyle="1" w:styleId="Heading2Char">
    <w:name w:val="Heading 2 Char"/>
    <w:basedOn w:val="DefaultParagraphFont"/>
    <w:link w:val="Heading2"/>
    <w:rsid w:val="002C4597"/>
    <w:rPr>
      <w:rFonts w:ascii="Times New Roman" w:eastAsiaTheme="majorEastAsia" w:hAnsi="Times New Roman" w:cstheme="majorBidi"/>
      <w:b/>
      <w:bCs/>
      <w:sz w:val="28"/>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597"/>
    <w:pPr>
      <w:spacing w:before="120" w:after="0" w:line="360" w:lineRule="auto"/>
      <w:jc w:val="both"/>
    </w:pPr>
    <w:rPr>
      <w:rFonts w:asciiTheme="majorHAnsi" w:hAnsiTheme="majorHAnsi" w:cstheme="majorHAnsi"/>
      <w:sz w:val="26"/>
      <w:szCs w:val="24"/>
      <w:lang w:val="vi-VN"/>
    </w:rPr>
  </w:style>
  <w:style w:type="paragraph" w:styleId="Heading2">
    <w:name w:val="heading 2"/>
    <w:basedOn w:val="Normal"/>
    <w:next w:val="Normal"/>
    <w:link w:val="Heading2Char"/>
    <w:unhideWhenUsed/>
    <w:qFormat/>
    <w:rsid w:val="002C4597"/>
    <w:pPr>
      <w:keepNext/>
      <w:keepLines/>
      <w:spacing w:line="240" w:lineRule="auto"/>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5ECC"/>
    <w:pPr>
      <w:spacing w:before="0" w:line="240" w:lineRule="auto"/>
      <w:jc w:val="left"/>
    </w:pPr>
    <w:rPr>
      <w:rFonts w:ascii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A5ECC"/>
    <w:rPr>
      <w:sz w:val="20"/>
      <w:szCs w:val="20"/>
    </w:rPr>
  </w:style>
  <w:style w:type="character" w:styleId="FootnoteReference">
    <w:name w:val="footnote reference"/>
    <w:basedOn w:val="DefaultParagraphFont"/>
    <w:uiPriority w:val="99"/>
    <w:semiHidden/>
    <w:unhideWhenUsed/>
    <w:rsid w:val="000A5ECC"/>
    <w:rPr>
      <w:vertAlign w:val="superscript"/>
    </w:rPr>
  </w:style>
  <w:style w:type="character" w:customStyle="1" w:styleId="Heading2Char">
    <w:name w:val="Heading 2 Char"/>
    <w:basedOn w:val="DefaultParagraphFont"/>
    <w:link w:val="Heading2"/>
    <w:rsid w:val="002C4597"/>
    <w:rPr>
      <w:rFonts w:ascii="Times New Roman" w:eastAsiaTheme="majorEastAsia" w:hAnsi="Times New Roman" w:cstheme="majorBidi"/>
      <w:b/>
      <w:bCs/>
      <w:sz w:val="28"/>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527</Words>
  <Characters>3004</Characters>
  <Application>Microsoft Office Word</Application>
  <DocSecurity>0</DocSecurity>
  <Lines>25</Lines>
  <Paragraphs>7</Paragraphs>
  <ScaleCrop>false</ScaleCrop>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dcterms:created xsi:type="dcterms:W3CDTF">2019-04-22T07:03:00Z</dcterms:created>
  <dcterms:modified xsi:type="dcterms:W3CDTF">2019-10-08T09:44:00Z</dcterms:modified>
</cp:coreProperties>
</file>